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0" w:type="dxa"/>
        <w:jc w:val="center"/>
        <w:tblCellSpacing w:w="0" w:type="dxa"/>
        <w:tblCellMar>
          <w:left w:w="0" w:type="dxa"/>
          <w:right w:w="0" w:type="dxa"/>
        </w:tblCellMar>
        <w:tblLook w:val="0000" w:firstRow="0" w:lastRow="0" w:firstColumn="0" w:lastColumn="0" w:noHBand="0" w:noVBand="0"/>
      </w:tblPr>
      <w:tblGrid>
        <w:gridCol w:w="3089"/>
        <w:gridCol w:w="5871"/>
      </w:tblGrid>
      <w:tr w:rsidR="00A21DA3" w:rsidRPr="00092274" w:rsidTr="002F203F">
        <w:trPr>
          <w:tblCellSpacing w:w="0" w:type="dxa"/>
          <w:jc w:val="center"/>
        </w:trPr>
        <w:tc>
          <w:tcPr>
            <w:tcW w:w="8960" w:type="dxa"/>
            <w:gridSpan w:val="2"/>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359"/>
            </w:tblGrid>
            <w:tr w:rsidR="00A21DA3" w:rsidRPr="00092274">
              <w:trPr>
                <w:tblCellSpacing w:w="15" w:type="dxa"/>
              </w:trPr>
              <w:tc>
                <w:tcPr>
                  <w:tcW w:w="0" w:type="auto"/>
                  <w:vAlign w:val="center"/>
                </w:tcPr>
                <w:p w:rsidR="00A21DA3" w:rsidRPr="00092274" w:rsidRDefault="00A21DA3" w:rsidP="00092274">
                  <w:pPr>
                    <w:rPr>
                      <w:b/>
                      <w:bCs/>
                      <w:color w:val="003399"/>
                      <w:sz w:val="24"/>
                      <w:szCs w:val="24"/>
                    </w:rPr>
                  </w:pPr>
                  <w:r w:rsidRPr="00092274">
                    <w:rPr>
                      <w:b/>
                      <w:bCs/>
                      <w:color w:val="003399"/>
                      <w:sz w:val="24"/>
                      <w:szCs w:val="24"/>
                    </w:rPr>
                    <w:t>Проект: Моделиране на софийската водопроводна мрежа</w:t>
                  </w:r>
                </w:p>
              </w:tc>
            </w:tr>
          </w:tbl>
          <w:p w:rsidR="00092274" w:rsidRDefault="000B5D3E" w:rsidP="00092274">
            <w:pPr>
              <w:pStyle w:val="a5"/>
            </w:pPr>
            <w:r>
              <w:rPr>
                <w:noProof/>
                <w:lang w:val="bg-BG" w:eastAsia="bg-BG"/>
              </w:rPr>
              <w:drawing>
                <wp:inline distT="0" distB="0" distL="0" distR="0">
                  <wp:extent cx="2675255" cy="1706245"/>
                  <wp:effectExtent l="0" t="0" r="0" b="0"/>
                  <wp:docPr id="1" name="Картина 1" descr="4BBB4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BBB47C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5255" cy="1706245"/>
                          </a:xfrm>
                          <a:prstGeom prst="rect">
                            <a:avLst/>
                          </a:prstGeom>
                          <a:noFill/>
                          <a:ln>
                            <a:noFill/>
                          </a:ln>
                        </pic:spPr>
                      </pic:pic>
                    </a:graphicData>
                  </a:graphic>
                </wp:inline>
              </w:drawing>
            </w:r>
          </w:p>
          <w:p w:rsidR="00A21DA3" w:rsidRPr="00092274" w:rsidRDefault="00A21DA3" w:rsidP="00092274">
            <w:pPr>
              <w:pStyle w:val="a5"/>
            </w:pPr>
            <w:r w:rsidRPr="00092274">
              <w:t xml:space="preserve">Проектът започна през ноември </w:t>
            </w:r>
            <w:smartTag w:uri="urn:schemas-microsoft-com:office:smarttags" w:element="metricconverter">
              <w:smartTagPr>
                <w:attr w:name="ProductID" w:val="2001 г"/>
              </w:smartTagPr>
              <w:r w:rsidRPr="00092274">
                <w:t>2001 г</w:t>
              </w:r>
            </w:smartTag>
            <w:r w:rsidRPr="00092274">
              <w:t xml:space="preserve">. и трябва да приключи през март </w:t>
            </w:r>
            <w:smartTag w:uri="urn:schemas-microsoft-com:office:smarttags" w:element="metricconverter">
              <w:smartTagPr>
                <w:attr w:name="ProductID" w:val="2003 г"/>
              </w:smartTagPr>
              <w:r w:rsidRPr="00092274">
                <w:t>2003 г</w:t>
              </w:r>
            </w:smartTag>
            <w:r w:rsidRPr="00092274">
              <w:t>. Крайният резултат от този проект ще бъде компютъризираният стратегически хидравличен модел на водопроводната система за питейна вода, управлявана от "Софийска вода".</w:t>
            </w:r>
          </w:p>
          <w:p w:rsidR="00A21DA3" w:rsidRPr="00092274" w:rsidRDefault="00A21DA3" w:rsidP="00092274">
            <w:pPr>
              <w:pStyle w:val="a5"/>
            </w:pPr>
            <w:r w:rsidRPr="00092274">
              <w:rPr>
                <w:rStyle w:val="kidmoto1"/>
              </w:rPr>
              <w:t>Детайли на проекта</w:t>
            </w:r>
          </w:p>
          <w:p w:rsidR="00A21DA3" w:rsidRPr="00092274" w:rsidRDefault="00A21DA3" w:rsidP="00092274">
            <w:pPr>
              <w:pStyle w:val="a5"/>
            </w:pPr>
            <w:r w:rsidRPr="00092274">
              <w:t>Проектът цели:</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 xml:space="preserve">Разработване и осъществяване на 30 зони за управление на потреблението (DMZ). Те се </w:t>
            </w:r>
            <w:bookmarkStart w:id="0" w:name="_GoBack"/>
            <w:r w:rsidRPr="00092274">
              <w:rPr>
                <w:sz w:val="24"/>
                <w:szCs w:val="24"/>
              </w:rPr>
              <w:t>прилагат</w:t>
            </w:r>
            <w:bookmarkEnd w:id="0"/>
            <w:r w:rsidRPr="00092274">
              <w:rPr>
                <w:sz w:val="24"/>
                <w:szCs w:val="24"/>
              </w:rPr>
              <w:t>, за да се постигне преценка на нивата на потребление в цялата система. Зоните се установяват по:</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Идентифициране на съществуващите и инсталиране на нови кранове, затворени, за да действат като граници и използвани, за д</w:t>
            </w:r>
            <w:r w:rsidR="009C7B98">
              <w:rPr>
                <w:sz w:val="24"/>
                <w:szCs w:val="24"/>
              </w:rPr>
              <w:t>а изолират зоните една от друга</w:t>
            </w:r>
            <w:r w:rsidR="009C7B98">
              <w:rPr>
                <w:sz w:val="24"/>
                <w:szCs w:val="24"/>
                <w:lang w:val="bg-BG"/>
              </w:rPr>
              <w:t>.</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Изграждане на камери за измерване на дебита, в които могат да бъдат инсталирани потопяеми дебитомери. Тези устройства използват електромагнитната технология и проводимостта на водата за измерване степента на дебита. Потребленията на зонално ниво се постигат чрез измерване на по</w:t>
            </w:r>
            <w:r w:rsidR="009C7B98">
              <w:rPr>
                <w:sz w:val="24"/>
                <w:szCs w:val="24"/>
              </w:rPr>
              <w:t>тоците в и извън отделните зони.</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Всяка от тези самостоятелни хидравлични зони е снабдена с трицифрен код. След като веднъж са въведени в Системата за фактуриране и Системата ГИС, дружеството ще може точно да идентифицира местоположението на всички потребители в определена зона и следователно ще помага при потребителски запитвания чрез Телефонния център, също както и ще усъвършенства общото ниво на обслужване на потребителите</w:t>
            </w:r>
            <w:r w:rsidR="009C7B98">
              <w:rPr>
                <w:sz w:val="24"/>
                <w:szCs w:val="24"/>
                <w:lang w:val="bg-BG"/>
              </w:rPr>
              <w:t>.</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Инсталиране и следене на записващи налягането устройства, за постигане на преценка за динамичния и статичния напор из цялата система. Така също, за измерване на статичния напор в основните обслужващи резервоари, допълнителни контролни устройства са разпръснати из цялата система, за да се оценят хидравличните загуби на налягане в различни точки на системата</w:t>
            </w:r>
            <w:r w:rsidR="009C7B98">
              <w:rPr>
                <w:sz w:val="24"/>
                <w:szCs w:val="24"/>
                <w:lang w:val="bg-BG"/>
              </w:rPr>
              <w:t>.</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Изпробване на хидравличната "стегнатост" на системата, т.е. постигане на сигурност, че няма действащи неизвестни водопроводни отклонения между системите, чрез провеждане на тестове за нулево налягане. Тази процедура се провежда през нощта, за да се предизвикат минимални смущения за потребителите. Тя включва пълно свиване на налягането в системата на всяка отделна зона и провеждане на наблюдения, за да се гарантира, че от и към зоната не преминава вода.</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lastRenderedPageBreak/>
              <w:t>Постигане на по-точно знание за конфигурацията на системата. Данните се извличат от системата ГИС на дружеството, прехвърлят се чрез специално разработен интерфейс и се вкарват в софтуерния пакет за хидравличен анализ. В рамките на хидравличния софтуер се правят проверки и поправки на данните, за да се гарантира, че хидравличните характеристики съответстват на реалната система. Тази практика включва конфигуриране на работата на контролните кранове, въвеждане на вертикални разрези на резервоарите (дълбочина/обем и контрол) и характеристики на помпите като дебит, нал</w:t>
            </w:r>
            <w:r w:rsidR="009C7B98">
              <w:rPr>
                <w:sz w:val="24"/>
                <w:szCs w:val="24"/>
              </w:rPr>
              <w:t>ягане и информация за мощността.</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След като е постигнато ясно разбиране за това как работи системата, се планира полево изпитание. То включва разполагане на голямо количество устройства за измерване на дебита и налягането в системата и измерване на данните на 15-минутни интервали в продължение най-малко на 7 дни. Данните се записват в телеметричната SCADA система на дружеството</w:t>
            </w:r>
            <w:r w:rsidR="009C7B98">
              <w:rPr>
                <w:sz w:val="24"/>
                <w:szCs w:val="24"/>
                <w:lang w:val="bg-BG"/>
              </w:rPr>
              <w:t>.</w:t>
            </w:r>
            <w:r w:rsidRPr="00092274">
              <w:rPr>
                <w:sz w:val="24"/>
                <w:szCs w:val="24"/>
              </w:rPr>
              <w:t xml:space="preserve"> </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След като данните от полевите проучвания са обработени и записани на компютъра в електронен формат, може да започне процес на калибриране на модела. Този процес на калибриране включва:</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Вкарване на данните за дебита от полевите данни в модела и представяне на нуждите като: битови, небитови и н</w:t>
            </w:r>
            <w:r w:rsidR="009C7B98">
              <w:rPr>
                <w:sz w:val="24"/>
                <w:szCs w:val="24"/>
              </w:rPr>
              <w:t>еотчетена вода, например течове.</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Завършване на дебитния баланс. Включва не само постигането на сигурност, че стойностите на потреблението в рамките на Зоната за управление на потреблението отговарят на реалността, но също и че дебитът в резервоарите, помпените станции и по магистралните водопроводи отговаря на този,</w:t>
            </w:r>
            <w:r w:rsidR="009C7B98">
              <w:rPr>
                <w:sz w:val="24"/>
                <w:szCs w:val="24"/>
              </w:rPr>
              <w:t xml:space="preserve"> измерен при полевото изпитание.</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 xml:space="preserve">Приспособяване на коефициентите на триене на водопроводите и дроселирането на крановете, работата на помпените станции и контролните устройства в резервоарните инсталации, за да се гарантира, че симулираните от модела налягания представят реалните налягания, </w:t>
            </w:r>
            <w:r w:rsidR="009C7B98">
              <w:rPr>
                <w:sz w:val="24"/>
                <w:szCs w:val="24"/>
              </w:rPr>
              <w:t>измерени при полевите изпитания.</w:t>
            </w:r>
          </w:p>
          <w:p w:rsidR="00A21DA3" w:rsidRPr="00092274" w:rsidRDefault="00A21DA3" w:rsidP="00092274">
            <w:pPr>
              <w:numPr>
                <w:ilvl w:val="0"/>
                <w:numId w:val="1"/>
              </w:numPr>
              <w:spacing w:before="100" w:beforeAutospacing="1" w:after="100" w:afterAutospacing="1"/>
              <w:rPr>
                <w:sz w:val="24"/>
                <w:szCs w:val="24"/>
              </w:rPr>
            </w:pPr>
            <w:r w:rsidRPr="00092274">
              <w:rPr>
                <w:sz w:val="24"/>
                <w:szCs w:val="24"/>
              </w:rPr>
              <w:t xml:space="preserve">След като бъде завършен, стратегическият модел ще подпомогне дружеството в проектирането на усъвършенствания за следващите 22 години, като част от неговия Инвестиционен план за периода на концесията. По-специално, моделът ще помага с проекти за: </w:t>
            </w:r>
          </w:p>
          <w:p w:rsidR="00A21DA3" w:rsidRPr="00092274" w:rsidRDefault="00A21DA3" w:rsidP="00092274">
            <w:pPr>
              <w:numPr>
                <w:ilvl w:val="1"/>
                <w:numId w:val="1"/>
              </w:numPr>
              <w:tabs>
                <w:tab w:val="clear" w:pos="1440"/>
              </w:tabs>
              <w:spacing w:before="100" w:beforeAutospacing="1" w:after="100" w:afterAutospacing="1"/>
              <w:ind w:left="47" w:firstLine="0"/>
              <w:rPr>
                <w:sz w:val="24"/>
                <w:szCs w:val="24"/>
              </w:rPr>
            </w:pPr>
            <w:r w:rsidRPr="00092274">
              <w:rPr>
                <w:sz w:val="24"/>
                <w:szCs w:val="24"/>
              </w:rPr>
              <w:t>Определяне на приоритети в прогр</w:t>
            </w:r>
            <w:r w:rsidR="009C7B98">
              <w:rPr>
                <w:sz w:val="24"/>
                <w:szCs w:val="24"/>
              </w:rPr>
              <w:t>амата за замяна на тръбопроводи.</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Оптимизиране на проекта за по-нататъшно разделяне на Зоните за управление на потреблението на по-малки подзони</w:t>
            </w:r>
            <w:r w:rsidR="009C7B98">
              <w:rPr>
                <w:sz w:val="24"/>
                <w:szCs w:val="24"/>
              </w:rPr>
              <w:t>, наречени Водомерни зони (DMA).</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Помощ при проекта за схеми за управление на налягането, включващи инсталирането на вентили за намаляване на налягането и блокови хидрофори</w:t>
            </w:r>
            <w:r w:rsidR="009C7B98">
              <w:rPr>
                <w:sz w:val="24"/>
                <w:szCs w:val="24"/>
                <w:lang w:val="bg-BG"/>
              </w:rPr>
              <w:t>.</w:t>
            </w:r>
            <w:r w:rsidRPr="00092274">
              <w:rPr>
                <w:sz w:val="24"/>
                <w:szCs w:val="24"/>
              </w:rPr>
              <w:t xml:space="preserve"> </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 xml:space="preserve">Разполагане на нови големи помпени станции за прехвърляне на водата </w:t>
            </w:r>
            <w:r w:rsidR="009C7B98">
              <w:rPr>
                <w:sz w:val="24"/>
                <w:szCs w:val="24"/>
              </w:rPr>
              <w:t>от една област на града в друга.</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Разполагане на по-малки помпени станции (хидрофори) за помощ при локализирани проб</w:t>
            </w:r>
            <w:r w:rsidR="009C7B98">
              <w:rPr>
                <w:sz w:val="24"/>
                <w:szCs w:val="24"/>
              </w:rPr>
              <w:t>леми с ниско налягане.</w:t>
            </w:r>
          </w:p>
          <w:p w:rsidR="00A21DA3" w:rsidRPr="00092274" w:rsidRDefault="00A21DA3" w:rsidP="00092274">
            <w:pPr>
              <w:numPr>
                <w:ilvl w:val="1"/>
                <w:numId w:val="1"/>
              </w:numPr>
              <w:spacing w:before="100" w:beforeAutospacing="1" w:after="100" w:afterAutospacing="1"/>
              <w:rPr>
                <w:sz w:val="24"/>
                <w:szCs w:val="24"/>
              </w:rPr>
            </w:pPr>
            <w:r w:rsidRPr="00092274">
              <w:rPr>
                <w:sz w:val="24"/>
                <w:szCs w:val="24"/>
              </w:rPr>
              <w:t>Оптимизиране на резервоарите, за постигане на сигурност, че качеството на водата се поддържа на най-високите стандарти и че достатъчно количество вода е на разположение за доставяне до потребителите, в случай на авария на източник</w:t>
            </w:r>
            <w:r w:rsidR="009C7B98">
              <w:rPr>
                <w:sz w:val="24"/>
                <w:szCs w:val="24"/>
                <w:lang w:val="bg-BG"/>
              </w:rPr>
              <w:t>.</w:t>
            </w:r>
            <w:r w:rsidRPr="00092274">
              <w:rPr>
                <w:sz w:val="24"/>
                <w:szCs w:val="24"/>
              </w:rPr>
              <w:t xml:space="preserve"> </w:t>
            </w:r>
          </w:p>
          <w:p w:rsidR="00A21DA3" w:rsidRPr="00092274" w:rsidRDefault="00A21DA3" w:rsidP="00092274">
            <w:pPr>
              <w:pStyle w:val="a5"/>
              <w:ind w:left="720"/>
            </w:pPr>
            <w:r w:rsidRPr="00092274">
              <w:t> </w:t>
            </w:r>
            <w:r w:rsidRPr="00092274">
              <w:rPr>
                <w:rStyle w:val="kidmoto1"/>
              </w:rPr>
              <w:t>Извършени доставки и подобрения на активите</w:t>
            </w:r>
            <w:r w:rsidRPr="00092274">
              <w:t xml:space="preserve"> </w:t>
            </w:r>
          </w:p>
          <w:p w:rsidR="00A21DA3" w:rsidRPr="00092274" w:rsidRDefault="00A21DA3" w:rsidP="00092274">
            <w:pPr>
              <w:pStyle w:val="a5"/>
            </w:pPr>
            <w:r w:rsidRPr="00092274">
              <w:lastRenderedPageBreak/>
              <w:t>От гледна точка на материалните подобрения, дейностите през последните 12 месеца включваха:</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Инспектиране и експлоатация на 120 бр. разделителни крана</w:t>
            </w:r>
            <w:r w:rsidR="009C7B98">
              <w:rPr>
                <w:sz w:val="24"/>
                <w:szCs w:val="24"/>
                <w:lang w:val="bg-BG"/>
              </w:rPr>
              <w:t>.</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Инсталиране на други 40 бр. разделителни крана с голям диаметър, на цена 150 000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Изграждане на 109 бр. камери за следене на дебита и налягането, на цена 109 000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Закупуване на 32 бр. електромагнитни дебитомера за диаметър на тръбите равен или по-голям от </w:t>
            </w:r>
            <w:smartTag w:uri="urn:schemas-microsoft-com:office:smarttags" w:element="metricconverter">
              <w:smartTagPr>
                <w:attr w:name="ProductID" w:val="200 мм"/>
              </w:smartTagPr>
              <w:r w:rsidRPr="00092274">
                <w:rPr>
                  <w:sz w:val="24"/>
                  <w:szCs w:val="24"/>
                </w:rPr>
                <w:t>200 мм</w:t>
              </w:r>
            </w:smartTag>
            <w:r w:rsidRPr="00092274">
              <w:rPr>
                <w:sz w:val="24"/>
                <w:szCs w:val="24"/>
              </w:rPr>
              <w:t xml:space="preserve">, на цена 192 000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Закупуване на 12 бр. грубо механични дебитомера за диаметър на тръбите по-малък от 200мм на цена 7 200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Покупка на 40 бр. устройства за следене на налягането, в допълнение към 113-те устройства, закупени през първата концесионна година, на цена 4 800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Покупка на 4 бр. SynerGEE for Water v3.22 софтуерен пакет за хидравличен анализ, на цена 84 000 лв.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Разработка на софтуерен пакет, наречен SynerGISe, използван за автоматично прехвърляне на данните за водопровода от ГИС на дружеството към SynerGEE. Тази разработка осигурява възможност бъдещите процеси по изграждане на модела да бъдат бързи и без грешки.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Покупка </w:t>
            </w:r>
            <w:r w:rsidR="009C7B98">
              <w:rPr>
                <w:sz w:val="24"/>
                <w:szCs w:val="24"/>
              </w:rPr>
              <w:t>на 3 бр. лицензи за ArcView GIS.</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Покупка на</w:t>
            </w:r>
            <w:r w:rsidR="009C7B98">
              <w:rPr>
                <w:sz w:val="24"/>
                <w:szCs w:val="24"/>
              </w:rPr>
              <w:t xml:space="preserve"> 3 бр. лицензи за AutoCAD карти.</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 xml:space="preserve">Покупка на 6 бр. високоскоростни компютри с високи спецификации, на цена 22 000 лв., необходими за проиграване на симулациите на разпределителната система, както при съществуващите през </w:t>
            </w:r>
            <w:smartTag w:uri="urn:schemas-microsoft-com:office:smarttags" w:element="metricconverter">
              <w:smartTagPr>
                <w:attr w:name="ProductID" w:val="2002 г"/>
              </w:smartTagPr>
              <w:r w:rsidRPr="00092274">
                <w:rPr>
                  <w:sz w:val="24"/>
                  <w:szCs w:val="24"/>
                </w:rPr>
                <w:t>2002 г</w:t>
              </w:r>
            </w:smartTag>
            <w:r w:rsidRPr="00092274">
              <w:rPr>
                <w:sz w:val="24"/>
                <w:szCs w:val="24"/>
              </w:rPr>
              <w:t xml:space="preserve">. условия, така и за анализиране на ефектите, които бъдещият растеж в града ще има върху хидравличното поведение на системата. </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Покупка на програмни средства за управление на проекти, като например Microsoft Project, използвани за планиране на проекти и гарантиране, че всички дейности се изпълняват възможно най-ефективно, в рамките</w:t>
            </w:r>
            <w:r w:rsidR="009C7B98">
              <w:rPr>
                <w:sz w:val="24"/>
                <w:szCs w:val="24"/>
              </w:rPr>
              <w:t xml:space="preserve"> на времевите граници и бюджета.</w:t>
            </w:r>
          </w:p>
          <w:p w:rsidR="00A21DA3" w:rsidRPr="00092274" w:rsidRDefault="00A21DA3" w:rsidP="00092274">
            <w:pPr>
              <w:numPr>
                <w:ilvl w:val="0"/>
                <w:numId w:val="2"/>
              </w:numPr>
              <w:spacing w:before="100" w:beforeAutospacing="1" w:after="100" w:afterAutospacing="1"/>
              <w:rPr>
                <w:sz w:val="24"/>
                <w:szCs w:val="24"/>
              </w:rPr>
            </w:pPr>
            <w:r w:rsidRPr="00092274">
              <w:rPr>
                <w:sz w:val="24"/>
                <w:szCs w:val="24"/>
              </w:rPr>
              <w:t>Покупка на превозни средства, използвани за извършване на полевите дейности, а именно 2 бр. Peugeot 206, 1 бр. Pe</w:t>
            </w:r>
            <w:r w:rsidR="009C7B98">
              <w:rPr>
                <w:sz w:val="24"/>
                <w:szCs w:val="24"/>
              </w:rPr>
              <w:t>ugeot 106 и 1 бр. Opel Frontera.</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96"/>
            </w:tblGrid>
            <w:tr w:rsidR="00A21DA3" w:rsidRPr="00092274">
              <w:trPr>
                <w:tblCellSpacing w:w="15" w:type="dxa"/>
                <w:jc w:val="center"/>
              </w:trPr>
              <w:tc>
                <w:tcPr>
                  <w:tcW w:w="0" w:type="auto"/>
                  <w:vAlign w:val="center"/>
                </w:tcPr>
                <w:p w:rsidR="00A21DA3" w:rsidRPr="00092274" w:rsidRDefault="00A21DA3" w:rsidP="00092274">
                  <w:pPr>
                    <w:rPr>
                      <w:color w:val="000000"/>
                      <w:sz w:val="24"/>
                      <w:szCs w:val="24"/>
                    </w:rPr>
                  </w:pPr>
                </w:p>
              </w:tc>
            </w:tr>
          </w:tbl>
          <w:p w:rsidR="00A21DA3" w:rsidRPr="00092274" w:rsidRDefault="00A21DA3" w:rsidP="00092274">
            <w:pPr>
              <w:pStyle w:val="a5"/>
            </w:pPr>
            <w:r w:rsidRPr="00092274">
              <w:t xml:space="preserve">От гледна точка на нематериалните подобрения на активите на дружеството, бяха проведени няколко проучвания и занятия, които ще доведат до бъдещи усъвършенствания в работата на водната система: </w:t>
            </w:r>
          </w:p>
          <w:p w:rsidR="00A21DA3" w:rsidRPr="00092274" w:rsidRDefault="00A21DA3" w:rsidP="00092274">
            <w:pPr>
              <w:numPr>
                <w:ilvl w:val="0"/>
                <w:numId w:val="3"/>
              </w:numPr>
              <w:spacing w:before="100" w:beforeAutospacing="1" w:after="100" w:afterAutospacing="1"/>
              <w:rPr>
                <w:sz w:val="24"/>
                <w:szCs w:val="24"/>
              </w:rPr>
            </w:pPr>
            <w:r w:rsidRPr="00092274">
              <w:rPr>
                <w:sz w:val="24"/>
                <w:szCs w:val="24"/>
              </w:rPr>
              <w:t>Геодезично проучване на всички помпени станции и резервоари, осигуряващо точно познаване на хара</w:t>
            </w:r>
            <w:r w:rsidR="009C7B98">
              <w:rPr>
                <w:sz w:val="24"/>
                <w:szCs w:val="24"/>
              </w:rPr>
              <w:t>ктеристиките на тези съоръжения.</w:t>
            </w:r>
          </w:p>
          <w:p w:rsidR="00A21DA3" w:rsidRPr="00092274" w:rsidRDefault="00A21DA3" w:rsidP="00092274">
            <w:pPr>
              <w:numPr>
                <w:ilvl w:val="0"/>
                <w:numId w:val="3"/>
              </w:numPr>
              <w:spacing w:before="100" w:beforeAutospacing="1" w:after="100" w:afterAutospacing="1"/>
              <w:rPr>
                <w:sz w:val="24"/>
                <w:szCs w:val="24"/>
              </w:rPr>
            </w:pPr>
            <w:r w:rsidRPr="00092274">
              <w:rPr>
                <w:sz w:val="24"/>
                <w:szCs w:val="24"/>
              </w:rPr>
              <w:t>Разработка на програмно средство за изчистване в ГИС, помагащо да се усъвършенства качеството на данните, съхранявани в ГИС. Това ще доведе до постигане на по-добро познаване на</w:t>
            </w:r>
            <w:r w:rsidR="009C7B98">
              <w:rPr>
                <w:sz w:val="24"/>
                <w:szCs w:val="24"/>
              </w:rPr>
              <w:t xml:space="preserve"> местоположението на подземните </w:t>
            </w:r>
            <w:r w:rsidRPr="00092274">
              <w:rPr>
                <w:sz w:val="24"/>
                <w:szCs w:val="24"/>
              </w:rPr>
              <w:t xml:space="preserve">фитинги, обхващащи тръбопроводната мрежа. Такова познаване помага за разрешаването на възникващите проблеми по снабдяването, в случай на неочаквани събития, ускорявайки по този начин реагирането с пъти и следователно минимизирайки неудобствата за потребителите с пъти. </w:t>
            </w:r>
          </w:p>
          <w:p w:rsidR="00A21DA3" w:rsidRPr="00092274" w:rsidRDefault="00A21DA3" w:rsidP="00092274">
            <w:pPr>
              <w:pStyle w:val="a5"/>
            </w:pPr>
            <w:r w:rsidRPr="00092274">
              <w:rPr>
                <w:rStyle w:val="kidmoto1"/>
              </w:rPr>
              <w:lastRenderedPageBreak/>
              <w:t>Работна сила</w:t>
            </w:r>
            <w:r w:rsidRPr="00092274">
              <w:t xml:space="preserve"> </w:t>
            </w:r>
          </w:p>
          <w:p w:rsidR="00A21DA3" w:rsidRPr="00092274" w:rsidRDefault="00A21DA3" w:rsidP="00092274">
            <w:pPr>
              <w:pStyle w:val="a5"/>
            </w:pPr>
            <w:r w:rsidRPr="00092274">
              <w:t xml:space="preserve">Проектът използва следната работна сила: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Назначени 5 инженера на пълно работно време.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Назначени 2 човека полеви персонал на пълно работно време.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 1 администратор и мениджър на пълно работно време.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 1 чуждестранен инструктор по моделиране на пълно работно време.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Назначени 2 чуждестранни инструктори на полеви персонал на непълно работно време. </w:t>
            </w:r>
          </w:p>
          <w:p w:rsidR="00A21DA3" w:rsidRPr="00092274" w:rsidRDefault="00A21DA3" w:rsidP="00092274">
            <w:pPr>
              <w:numPr>
                <w:ilvl w:val="0"/>
                <w:numId w:val="4"/>
              </w:numPr>
              <w:spacing w:before="100" w:beforeAutospacing="1" w:after="100" w:afterAutospacing="1"/>
              <w:rPr>
                <w:sz w:val="24"/>
                <w:szCs w:val="24"/>
              </w:rPr>
            </w:pPr>
            <w:r w:rsidRPr="00092274">
              <w:rPr>
                <w:sz w:val="24"/>
                <w:szCs w:val="24"/>
              </w:rPr>
              <w:t xml:space="preserve">Назначен 1 чуждестранен ръководител на проекта. </w:t>
            </w:r>
          </w:p>
          <w:p w:rsidR="00A21DA3" w:rsidRPr="00092274" w:rsidRDefault="00A21DA3" w:rsidP="00092274">
            <w:pPr>
              <w:pStyle w:val="a5"/>
            </w:pPr>
            <w:r w:rsidRPr="00092274">
              <w:rPr>
                <w:rStyle w:val="kidmoto1"/>
              </w:rPr>
              <w:t>Обучение</w:t>
            </w:r>
            <w:r w:rsidRPr="00092274">
              <w:t xml:space="preserve"> </w:t>
            </w:r>
          </w:p>
          <w:p w:rsidR="00A21DA3" w:rsidRPr="00092274" w:rsidRDefault="00A21DA3" w:rsidP="00092274">
            <w:pPr>
              <w:pStyle w:val="a5"/>
            </w:pPr>
            <w:r w:rsidRPr="00092274">
              <w:t xml:space="preserve">Проектът предприе широкообхватно обучение и извърши: </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Курс за обучение по теория на моделирането</w:t>
            </w:r>
            <w:r w:rsidR="009C7B98">
              <w:rPr>
                <w:sz w:val="24"/>
                <w:szCs w:val="24"/>
                <w:lang w:val="bg-BG"/>
              </w:rPr>
              <w:t>.</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Курс за обучение по моделиращ софтуер</w:t>
            </w:r>
            <w:r w:rsidR="009C7B98">
              <w:rPr>
                <w:sz w:val="24"/>
                <w:szCs w:val="24"/>
                <w:lang w:val="bg-BG"/>
              </w:rPr>
              <w:t>.</w:t>
            </w:r>
            <w:r w:rsidRPr="00092274">
              <w:rPr>
                <w:sz w:val="24"/>
                <w:szCs w:val="24"/>
              </w:rPr>
              <w:t xml:space="preserve"> </w:t>
            </w:r>
          </w:p>
          <w:p w:rsidR="00A21DA3" w:rsidRPr="00092274" w:rsidRDefault="009C7B98" w:rsidP="00092274">
            <w:pPr>
              <w:numPr>
                <w:ilvl w:val="0"/>
                <w:numId w:val="5"/>
              </w:numPr>
              <w:spacing w:before="100" w:beforeAutospacing="1" w:after="100" w:afterAutospacing="1"/>
              <w:rPr>
                <w:sz w:val="24"/>
                <w:szCs w:val="24"/>
              </w:rPr>
            </w:pPr>
            <w:r>
              <w:rPr>
                <w:sz w:val="24"/>
                <w:szCs w:val="24"/>
              </w:rPr>
              <w:t>Курс за обучение по ГИС софтуер.</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Обучение по Micros</w:t>
            </w:r>
            <w:r w:rsidR="009C7B98">
              <w:rPr>
                <w:sz w:val="24"/>
                <w:szCs w:val="24"/>
              </w:rPr>
              <w:t>oft Project.</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Обучение по здраве и безопасност за управлението на трафика</w:t>
            </w:r>
            <w:r w:rsidR="009C7B98">
              <w:rPr>
                <w:sz w:val="24"/>
                <w:szCs w:val="24"/>
                <w:lang w:val="bg-BG"/>
              </w:rPr>
              <w:t>.</w:t>
            </w:r>
            <w:r w:rsidRPr="00092274">
              <w:rPr>
                <w:sz w:val="24"/>
                <w:szCs w:val="24"/>
              </w:rPr>
              <w:t xml:space="preserve"> </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Обучение по здраве и безопасност за вли</w:t>
            </w:r>
            <w:r w:rsidR="009C7B98">
              <w:rPr>
                <w:sz w:val="24"/>
                <w:szCs w:val="24"/>
              </w:rPr>
              <w:t>зането в затворени пространства.</w:t>
            </w:r>
          </w:p>
          <w:p w:rsidR="00A21DA3" w:rsidRPr="00092274" w:rsidRDefault="009C7B98" w:rsidP="00092274">
            <w:pPr>
              <w:numPr>
                <w:ilvl w:val="0"/>
                <w:numId w:val="5"/>
              </w:numPr>
              <w:spacing w:before="100" w:beforeAutospacing="1" w:after="100" w:afterAutospacing="1"/>
              <w:rPr>
                <w:sz w:val="24"/>
                <w:szCs w:val="24"/>
              </w:rPr>
            </w:pPr>
            <w:r>
              <w:rPr>
                <w:sz w:val="24"/>
                <w:szCs w:val="24"/>
              </w:rPr>
              <w:t>Обучение по моделиране "Инситу".</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Обучение по изгр</w:t>
            </w:r>
            <w:r w:rsidR="009C7B98">
              <w:rPr>
                <w:sz w:val="24"/>
                <w:szCs w:val="24"/>
              </w:rPr>
              <w:t>аждане на умения за презентация.</w:t>
            </w:r>
          </w:p>
          <w:p w:rsidR="00A21DA3" w:rsidRPr="00092274" w:rsidRDefault="00A21DA3" w:rsidP="00092274">
            <w:pPr>
              <w:numPr>
                <w:ilvl w:val="0"/>
                <w:numId w:val="5"/>
              </w:numPr>
              <w:spacing w:before="100" w:beforeAutospacing="1" w:after="100" w:afterAutospacing="1"/>
              <w:rPr>
                <w:sz w:val="24"/>
                <w:szCs w:val="24"/>
              </w:rPr>
            </w:pPr>
            <w:r w:rsidRPr="00092274">
              <w:rPr>
                <w:sz w:val="24"/>
                <w:szCs w:val="24"/>
              </w:rPr>
              <w:t xml:space="preserve">Обучение за работа със софтуер за </w:t>
            </w:r>
            <w:r w:rsidR="009C7B98">
              <w:rPr>
                <w:sz w:val="24"/>
                <w:szCs w:val="24"/>
              </w:rPr>
              <w:t>управление на дебита/налягането.</w:t>
            </w:r>
          </w:p>
          <w:p w:rsidR="00A21DA3" w:rsidRPr="00092274" w:rsidRDefault="00A21DA3" w:rsidP="00092274">
            <w:pPr>
              <w:pStyle w:val="a5"/>
            </w:pPr>
            <w:r w:rsidRPr="00092274">
              <w:rPr>
                <w:rStyle w:val="kidmoto1"/>
              </w:rPr>
              <w:t>Обхват</w:t>
            </w:r>
          </w:p>
          <w:p w:rsidR="00A21DA3" w:rsidRPr="00092274" w:rsidRDefault="00A21DA3" w:rsidP="00092274">
            <w:pPr>
              <w:pStyle w:val="a5"/>
            </w:pPr>
            <w:r w:rsidRPr="00092274">
              <w:t xml:space="preserve">Проектът ще осигури основата за инвестиционната програма на дружеството през концесионния период; да се определят необходимите проекти за усъвършенстване на системата, за да се гарантира, че нивата на обслужване са постигнати навреме и по технически най-ефективния начин. </w:t>
            </w:r>
          </w:p>
          <w:p w:rsidR="00A21DA3" w:rsidRPr="00092274" w:rsidRDefault="00A21DA3" w:rsidP="00092274">
            <w:pPr>
              <w:pStyle w:val="a5"/>
            </w:pPr>
            <w:r w:rsidRPr="00092274">
              <w:rPr>
                <w:rStyle w:val="kidmoto1"/>
              </w:rPr>
              <w:t>Ефект</w:t>
            </w:r>
          </w:p>
          <w:tbl>
            <w:tblPr>
              <w:tblpPr w:vertAnchor="text" w:tblpXSpec="right" w:tblpYSpec="center"/>
              <w:tblW w:w="0" w:type="auto"/>
              <w:tblCellSpacing w:w="15" w:type="dxa"/>
              <w:tblCellMar>
                <w:top w:w="15" w:type="dxa"/>
                <w:left w:w="15" w:type="dxa"/>
                <w:bottom w:w="15" w:type="dxa"/>
                <w:right w:w="15" w:type="dxa"/>
              </w:tblCellMar>
              <w:tblLook w:val="0000" w:firstRow="0" w:lastRow="0" w:firstColumn="0" w:lastColumn="0" w:noHBand="0" w:noVBand="0"/>
            </w:tblPr>
            <w:tblGrid>
              <w:gridCol w:w="6572"/>
            </w:tblGrid>
            <w:tr w:rsidR="00A21DA3" w:rsidRPr="00092274">
              <w:trPr>
                <w:tblCellSpacing w:w="15" w:type="dxa"/>
              </w:trPr>
              <w:tc>
                <w:tcPr>
                  <w:tcW w:w="0" w:type="auto"/>
                  <w:vAlign w:val="center"/>
                </w:tcPr>
                <w:p w:rsidR="00A21DA3" w:rsidRPr="00092274" w:rsidRDefault="00A21DA3" w:rsidP="00092274">
                  <w:pPr>
                    <w:rPr>
                      <w:color w:val="000000"/>
                      <w:sz w:val="24"/>
                      <w:szCs w:val="24"/>
                    </w:rPr>
                  </w:pPr>
                </w:p>
              </w:tc>
            </w:tr>
            <w:tr w:rsidR="00A21DA3" w:rsidRPr="00092274">
              <w:trPr>
                <w:tblCellSpacing w:w="15" w:type="dxa"/>
              </w:trPr>
              <w:tc>
                <w:tcPr>
                  <w:tcW w:w="0" w:type="auto"/>
                  <w:vAlign w:val="center"/>
                </w:tcPr>
                <w:p w:rsidR="00A21DA3" w:rsidRPr="00092274" w:rsidRDefault="00A21DA3" w:rsidP="00092274">
                  <w:pPr>
                    <w:rPr>
                      <w:color w:val="000000"/>
                      <w:sz w:val="24"/>
                      <w:szCs w:val="24"/>
                    </w:rPr>
                  </w:pPr>
                  <w:r w:rsidRPr="00092274">
                    <w:rPr>
                      <w:sz w:val="24"/>
                      <w:szCs w:val="24"/>
                    </w:rPr>
                    <w:t>Фигура 2.6: Резултати от модела DMZ 2E, показващи потоците</w:t>
                  </w:r>
                </w:p>
              </w:tc>
            </w:tr>
          </w:tbl>
          <w:p w:rsidR="00A21DA3" w:rsidRPr="00092274" w:rsidRDefault="00A21DA3" w:rsidP="00092274">
            <w:pPr>
              <w:pStyle w:val="a5"/>
            </w:pPr>
            <w:r w:rsidRPr="00092274">
              <w:t>Проектът има множество въздействия върху потребителите; първоначално незначително и потенциално неоценено от потребителите е разделянето на системата, което индиректно ще положи основата за всички бъдещи проекти и подобрения, засягащи водопроводната мрежа за питейна вода.</w:t>
            </w:r>
          </w:p>
          <w:p w:rsidR="00A21DA3" w:rsidRPr="00092274" w:rsidRDefault="00A21DA3" w:rsidP="00092274">
            <w:pPr>
              <w:numPr>
                <w:ilvl w:val="0"/>
                <w:numId w:val="6"/>
              </w:numPr>
              <w:spacing w:before="100" w:beforeAutospacing="1" w:after="100" w:afterAutospacing="1"/>
              <w:rPr>
                <w:sz w:val="24"/>
                <w:szCs w:val="24"/>
              </w:rPr>
            </w:pPr>
            <w:r w:rsidRPr="00092274">
              <w:rPr>
                <w:sz w:val="24"/>
                <w:szCs w:val="24"/>
              </w:rPr>
              <w:t xml:space="preserve">Определянето на зоните е проектирано да подпомогне не само изграждането на хидравличен модел, но също и отдел "Експлоатация" и Телефонния център, чрез постигане на разбиране за това как работи разпределителната система. По-специално, то ще даде възможност на операторите да предоставят на потребителите актуална информация за възможните проблеми със системата в тяхната област, познавайки степента, в която един проблем може да засегне потребителите. Зоните също така позволяват по-малки области от града да бъдат изключвани за планова работа или аварии и следователно да бъдат засегнати по-малко потребители. </w:t>
            </w:r>
          </w:p>
          <w:p w:rsidR="00A21DA3" w:rsidRPr="00092274" w:rsidRDefault="00A21DA3" w:rsidP="00092274">
            <w:pPr>
              <w:numPr>
                <w:ilvl w:val="0"/>
                <w:numId w:val="6"/>
              </w:numPr>
              <w:spacing w:before="100" w:beforeAutospacing="1" w:after="100" w:afterAutospacing="1"/>
              <w:rPr>
                <w:color w:val="000000"/>
                <w:sz w:val="24"/>
                <w:szCs w:val="24"/>
              </w:rPr>
            </w:pPr>
            <w:r w:rsidRPr="00092274">
              <w:rPr>
                <w:sz w:val="24"/>
                <w:szCs w:val="24"/>
              </w:rPr>
              <w:lastRenderedPageBreak/>
              <w:t xml:space="preserve">Задачата за събиране на данни за дебита и налягането в системата идентифицира области, в които качеството на водата може да бъде засегнато от потоци с ниска скорост, и очертава зони с изключително високи или ниски разпределения на налягането. Това ще насочи проучванията и решенията към най-зле повлияните области. </w:t>
            </w:r>
          </w:p>
        </w:tc>
      </w:tr>
      <w:tr w:rsidR="00A21DA3" w:rsidRPr="00092274" w:rsidTr="002F203F">
        <w:trPr>
          <w:tblCellSpacing w:w="0" w:type="dxa"/>
          <w:jc w:val="center"/>
        </w:trPr>
        <w:tc>
          <w:tcPr>
            <w:tcW w:w="8960" w:type="dxa"/>
            <w:gridSpan w:val="2"/>
            <w:vAlign w:val="center"/>
          </w:tcPr>
          <w:p w:rsidR="00A21DA3" w:rsidRPr="00092274" w:rsidRDefault="00A21DA3" w:rsidP="00092274">
            <w:pPr>
              <w:rPr>
                <w:color w:val="000000"/>
                <w:sz w:val="24"/>
                <w:szCs w:val="24"/>
              </w:rPr>
            </w:pPr>
            <w:r w:rsidRPr="00092274">
              <w:rPr>
                <w:sz w:val="24"/>
                <w:szCs w:val="24"/>
              </w:rPr>
              <w:lastRenderedPageBreak/>
              <w:t> </w:t>
            </w:r>
          </w:p>
        </w:tc>
      </w:tr>
      <w:tr w:rsidR="002F203F" w:rsidRPr="00092274" w:rsidTr="002F203F">
        <w:tblPrEx>
          <w:jc w:val="left"/>
          <w:tblCellSpacing w:w="15" w:type="dxa"/>
          <w:tblCellMar>
            <w:top w:w="15" w:type="dxa"/>
            <w:left w:w="15" w:type="dxa"/>
            <w:bottom w:w="15" w:type="dxa"/>
            <w:right w:w="15" w:type="dxa"/>
          </w:tblCellMar>
        </w:tblPrEx>
        <w:trPr>
          <w:gridAfter w:val="1"/>
          <w:wAfter w:w="5832" w:type="dxa"/>
          <w:tblCellSpacing w:w="15" w:type="dxa"/>
        </w:trPr>
        <w:tc>
          <w:tcPr>
            <w:tcW w:w="0" w:type="auto"/>
            <w:vAlign w:val="center"/>
          </w:tcPr>
          <w:p w:rsidR="002F203F" w:rsidRPr="00092274" w:rsidRDefault="002F203F" w:rsidP="00092274">
            <w:pPr>
              <w:rPr>
                <w:b/>
                <w:bCs/>
                <w:color w:val="003399"/>
                <w:sz w:val="24"/>
                <w:szCs w:val="24"/>
              </w:rPr>
            </w:pPr>
            <w:r w:rsidRPr="00092274">
              <w:rPr>
                <w:b/>
                <w:bCs/>
                <w:color w:val="003399"/>
                <w:sz w:val="24"/>
                <w:szCs w:val="24"/>
              </w:rPr>
              <w:t>Установяване на DMA зони</w:t>
            </w:r>
          </w:p>
        </w:tc>
      </w:tr>
    </w:tbl>
    <w:p w:rsidR="002F203F" w:rsidRPr="00092274" w:rsidRDefault="002F203F" w:rsidP="00092274">
      <w:pPr>
        <w:spacing w:before="100" w:beforeAutospacing="1" w:after="100" w:afterAutospacing="1" w:line="300" w:lineRule="atLeast"/>
        <w:rPr>
          <w:color w:val="000000"/>
          <w:sz w:val="24"/>
          <w:szCs w:val="24"/>
        </w:rPr>
      </w:pPr>
      <w:r w:rsidRPr="00092274">
        <w:rPr>
          <w:color w:val="000000"/>
          <w:sz w:val="24"/>
          <w:szCs w:val="24"/>
        </w:rPr>
        <w:t> </w:t>
      </w:r>
      <w:r w:rsidRPr="00092274">
        <w:rPr>
          <w:b/>
          <w:bCs/>
          <w:color w:val="000000"/>
          <w:sz w:val="24"/>
          <w:szCs w:val="24"/>
        </w:rPr>
        <w:t>Програма за капиталови инвестиции през четвърта договорна година (Октовмри 2003 - Септември 2004)</w:t>
      </w:r>
    </w:p>
    <w:tbl>
      <w:tblPr>
        <w:tblW w:w="68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243"/>
        <w:gridCol w:w="1658"/>
        <w:gridCol w:w="2408"/>
        <w:gridCol w:w="576"/>
      </w:tblGrid>
      <w:tr w:rsidR="002F203F" w:rsidRPr="00092274" w:rsidTr="00A21DA3">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b/>
                <w:bCs/>
                <w:color w:val="000000"/>
                <w:sz w:val="24"/>
                <w:szCs w:val="24"/>
              </w:rPr>
              <w:t>Особености на проекта :</w:t>
            </w:r>
          </w:p>
        </w:tc>
      </w:tr>
      <w:tr w:rsidR="002F203F" w:rsidRPr="00092274" w:rsidTr="00A21DA3">
        <w:trPr>
          <w:trHeight w:val="465"/>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Име на проекта:</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Установяване на водомерни зони (DMA зони)</w:t>
            </w:r>
          </w:p>
        </w:tc>
      </w:tr>
      <w:tr w:rsidR="002F203F" w:rsidRPr="00092274" w:rsidTr="00A21D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Описание на проекта:</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Проектиране и установяване на DMA зони</w:t>
            </w:r>
          </w:p>
        </w:tc>
      </w:tr>
      <w:tr w:rsidR="002F203F" w:rsidRPr="00092274" w:rsidTr="00A21D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Ръководител проект:</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Версия:</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1</w:t>
            </w:r>
          </w:p>
        </w:tc>
      </w:tr>
      <w:tr w:rsidR="002F203F" w:rsidRPr="00092274" w:rsidTr="00A21DA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Дата:</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27/10/2004</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Код на проекта:</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331</w:t>
            </w:r>
          </w:p>
        </w:tc>
      </w:tr>
      <w:tr w:rsidR="002F203F" w:rsidRPr="00092274" w:rsidTr="00A21DA3">
        <w:trPr>
          <w:trHeight w:val="42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Отговорен мениджър:</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2F203F" w:rsidRPr="00092274" w:rsidRDefault="002F203F" w:rsidP="00092274">
            <w:pPr>
              <w:rPr>
                <w:color w:val="000000"/>
                <w:sz w:val="24"/>
                <w:szCs w:val="24"/>
              </w:rPr>
            </w:pPr>
            <w:r w:rsidRPr="00092274">
              <w:rPr>
                <w:color w:val="000000"/>
                <w:sz w:val="24"/>
                <w:szCs w:val="24"/>
              </w:rPr>
              <w:t xml:space="preserve">  </w:t>
            </w:r>
          </w:p>
        </w:tc>
      </w:tr>
    </w:tbl>
    <w:p w:rsidR="002F203F" w:rsidRPr="00092274"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t>ВЪВЕДЕНИЕ</w:t>
      </w:r>
      <w:r w:rsidRPr="00092274">
        <w:rPr>
          <w:color w:val="000000"/>
          <w:sz w:val="24"/>
          <w:szCs w:val="24"/>
        </w:rPr>
        <w:br/>
        <w:t xml:space="preserve">Водоразпределителната мрежа на гр. София е разделена на водомерни зони (DMA зони), които се проектираха и установиха през отчетния период. Те са подразделения на съществуващите по-големи зони за управление на консумацията (DMZ зони). </w:t>
      </w:r>
    </w:p>
    <w:p w:rsidR="002F203F" w:rsidRPr="00092274" w:rsidRDefault="002F203F" w:rsidP="00092274">
      <w:pPr>
        <w:spacing w:before="100" w:beforeAutospacing="1" w:after="100" w:afterAutospacing="1" w:line="300" w:lineRule="atLeast"/>
        <w:ind w:left="720"/>
        <w:rPr>
          <w:color w:val="000000"/>
          <w:sz w:val="24"/>
          <w:szCs w:val="24"/>
        </w:rPr>
      </w:pPr>
      <w:r w:rsidRPr="00092274">
        <w:rPr>
          <w:color w:val="000000"/>
          <w:sz w:val="24"/>
          <w:szCs w:val="24"/>
        </w:rPr>
        <w:t xml:space="preserve">Проектът ще осигури множество предимства за "Софийска вода" АД, като например: </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 xml:space="preserve">Изпълнение на изискванията по член 4.3.2 на Анекс 3 от концесионния договор, според която трябва да се осигури 1 точка на измерване на всеки 10 000 жители; </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 xml:space="preserve">DMA зоните са необходими за фазата на детайлното моделиране по Процедура 2, което започна на 1 април </w:t>
      </w:r>
      <w:smartTag w:uri="urn:schemas-microsoft-com:office:smarttags" w:element="metricconverter">
        <w:smartTagPr>
          <w:attr w:name="ProductID" w:val="2003 г"/>
        </w:smartTagPr>
        <w:r w:rsidRPr="00092274">
          <w:rPr>
            <w:color w:val="000000"/>
            <w:sz w:val="24"/>
            <w:szCs w:val="24"/>
          </w:rPr>
          <w:t>2003 г</w:t>
        </w:r>
      </w:smartTag>
      <w:r w:rsidRPr="00092274">
        <w:rPr>
          <w:color w:val="000000"/>
          <w:sz w:val="24"/>
          <w:szCs w:val="24"/>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Подобряване процеса по откриване на течовете и дейностите по тяхното отстраняване. Структурата на DMA зоните позволява много по-точно определяне стойностите на неотчетените водни количества (НВК);</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С помощта на DMA зоните ще бъде по-лесно да се определи компонентът на търговските загуби от системата за фактуриране на клиентите. За тази цел са въведени трицифрени кодове за всяка DMA зона;</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DMA структурата и съответните трицифрени кодове ще бъдат свързани към Географската информационна система (ГИС) и ще бъдат предоставени на Телефонния център. По този начин, заедно с информацията от Системата за управление на възложените работи, операторите в Телефонния център ще знаят в кои зони работят фирмите-подизпълнители. Така "Софийска вода" ще подобри обслужването на клиентите си, като постепенно ще сведе до минимум създаването на неудобства за тях;</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Минимизиране на планираните прекъсвания на водоподаването чрез изолиране и затваряне на по-малки зони за ремонт и рехабилитация на водопроводите;</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lastRenderedPageBreak/>
        <w:t xml:space="preserve">Чрез постигане на съответствие между DMA зоните и административните зони ще се реализира по-добро управление на районите, за които отговарят инспекторите и териториалните представители. </w:t>
      </w:r>
    </w:p>
    <w:p w:rsidR="002F203F" w:rsidRPr="00092274" w:rsidRDefault="002F203F" w:rsidP="00092274">
      <w:pPr>
        <w:spacing w:beforeAutospacing="1" w:afterAutospacing="1" w:line="300" w:lineRule="atLeast"/>
        <w:ind w:left="720"/>
        <w:rPr>
          <w:color w:val="000000"/>
          <w:sz w:val="24"/>
          <w:szCs w:val="24"/>
        </w:rPr>
      </w:pPr>
    </w:p>
    <w:p w:rsidR="002F203F" w:rsidRPr="00092274"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t>ЦЕЛИ НА ПРОЕКТА</w:t>
      </w:r>
      <w:r w:rsidRPr="00092274">
        <w:rPr>
          <w:color w:val="000000"/>
          <w:sz w:val="24"/>
          <w:szCs w:val="24"/>
        </w:rPr>
        <w:br/>
        <w:t>Целта на проекта е да се установят 234 DMA.</w:t>
      </w:r>
      <w:r w:rsidRPr="00092274">
        <w:rPr>
          <w:color w:val="000000"/>
          <w:sz w:val="24"/>
          <w:szCs w:val="24"/>
        </w:rPr>
        <w:br/>
        <w:t>Като отделни DMA са обособени резервоарите, транзитни водопроводи и разпределителната мрежа.</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34 зони на резервоари</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26 зони на стратегически транзитни водопроводи</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 xml:space="preserve">174 зони с население </w:t>
      </w:r>
    </w:p>
    <w:p w:rsidR="002F203F" w:rsidRPr="00092274" w:rsidRDefault="002F203F" w:rsidP="00092274">
      <w:pPr>
        <w:spacing w:before="100" w:beforeAutospacing="1" w:after="100" w:afterAutospacing="1" w:line="300" w:lineRule="atLeast"/>
        <w:ind w:left="720"/>
        <w:rPr>
          <w:color w:val="000000"/>
          <w:sz w:val="24"/>
          <w:szCs w:val="24"/>
        </w:rPr>
      </w:pPr>
      <w:r w:rsidRPr="00092274">
        <w:rPr>
          <w:color w:val="000000"/>
          <w:sz w:val="24"/>
          <w:szCs w:val="24"/>
        </w:rPr>
        <w:t xml:space="preserve">DMA програмата основно е предназначена за нуждите на проекта по намаляване на НВК, но също така е необходима и за фазата на детайлното моделиране и управление на налягането. </w:t>
      </w:r>
    </w:p>
    <w:p w:rsidR="002F203F" w:rsidRDefault="002F203F" w:rsidP="00092274">
      <w:pPr>
        <w:spacing w:before="100" w:beforeAutospacing="1" w:after="100" w:afterAutospacing="1" w:line="300" w:lineRule="atLeast"/>
        <w:ind w:left="720"/>
        <w:rPr>
          <w:color w:val="000000"/>
          <w:sz w:val="24"/>
          <w:szCs w:val="24"/>
        </w:rPr>
      </w:pPr>
      <w:r w:rsidRPr="00092274">
        <w:rPr>
          <w:color w:val="000000"/>
          <w:sz w:val="24"/>
          <w:szCs w:val="24"/>
        </w:rPr>
        <w:t xml:space="preserve">НВК се разделят на търговски и физически загуби на ниво ДМА зони посредством инструментите на модела за разпределение на консумацията. На тази база се избират приоритетни области, към които да се насочи намаляването на НВК. Тази дейност е от решаващо значение при оптимизиране на разходите по стратегията за НВК. </w:t>
      </w:r>
    </w:p>
    <w:p w:rsidR="00092274" w:rsidRDefault="00092274" w:rsidP="00092274">
      <w:pPr>
        <w:spacing w:before="100" w:beforeAutospacing="1" w:after="100" w:afterAutospacing="1" w:line="300" w:lineRule="atLeast"/>
        <w:ind w:left="720"/>
        <w:rPr>
          <w:color w:val="000000"/>
          <w:sz w:val="24"/>
          <w:szCs w:val="24"/>
        </w:rPr>
      </w:pPr>
    </w:p>
    <w:p w:rsidR="00092274" w:rsidRPr="00092274" w:rsidRDefault="00092274" w:rsidP="00092274">
      <w:pPr>
        <w:spacing w:before="100" w:beforeAutospacing="1" w:after="100" w:afterAutospacing="1" w:line="300" w:lineRule="atLeast"/>
        <w:ind w:left="720"/>
        <w:rPr>
          <w:color w:val="000000"/>
          <w:sz w:val="24"/>
          <w:szCs w:val="24"/>
        </w:rPr>
      </w:pPr>
    </w:p>
    <w:p w:rsidR="002F203F" w:rsidRPr="00092274"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t>ТРУД И ОБУЧЕНИЕ</w:t>
      </w:r>
      <w:r w:rsidRPr="00092274">
        <w:rPr>
          <w:color w:val="000000"/>
          <w:sz w:val="24"/>
          <w:szCs w:val="24"/>
        </w:rPr>
        <w:br/>
        <w:t xml:space="preserve">Понастоящем по DMA програмата работят 12 души, от които: </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ръководител сектор - отговаря за организацията, ръководството и гладкото протичане на DMA програмата, дейностите по детайлното моделиране и проекта за НВК</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6 високо квалифицирани инженери, работещи по DMA програмат</w:t>
      </w:r>
      <w:r w:rsidR="009C7B98">
        <w:rPr>
          <w:color w:val="000000"/>
          <w:sz w:val="24"/>
          <w:szCs w:val="24"/>
        </w:rPr>
        <w:t>а и разширения модел на мрежата.</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1 старши консултант, съдействащ за изпълнението на DMA програмата и разшире</w:t>
      </w:r>
      <w:r w:rsidR="009C7B98">
        <w:rPr>
          <w:color w:val="000000"/>
          <w:sz w:val="24"/>
          <w:szCs w:val="24"/>
        </w:rPr>
        <w:t>ния модел на мрежата.</w:t>
      </w:r>
      <w:r w:rsidRPr="00092274">
        <w:rPr>
          <w:color w:val="000000"/>
          <w:sz w:val="24"/>
          <w:szCs w:val="24"/>
        </w:rPr>
        <w:br/>
        <w:t>4 технически специалисти по откриване на течове, които едновре</w:t>
      </w:r>
      <w:r w:rsidR="009C7B98">
        <w:rPr>
          <w:color w:val="000000"/>
          <w:sz w:val="24"/>
          <w:szCs w:val="24"/>
        </w:rPr>
        <w:t>менно работят по проекта за НВК.</w:t>
      </w:r>
    </w:p>
    <w:p w:rsidR="002F203F" w:rsidRPr="00092274" w:rsidRDefault="002F203F" w:rsidP="00092274">
      <w:pPr>
        <w:spacing w:before="100" w:beforeAutospacing="1" w:after="100" w:afterAutospacing="1" w:line="300" w:lineRule="atLeast"/>
        <w:ind w:left="720"/>
        <w:rPr>
          <w:color w:val="000000"/>
          <w:sz w:val="24"/>
          <w:szCs w:val="24"/>
        </w:rPr>
      </w:pPr>
      <w:r w:rsidRPr="00092274">
        <w:rPr>
          <w:color w:val="000000"/>
          <w:sz w:val="24"/>
          <w:szCs w:val="24"/>
        </w:rPr>
        <w:t xml:space="preserve">Основните задължения и отговорности на екипа включват: </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Проектиране на DMA зони</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Строителни работи по DMA зоните</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Осъществяване на надзор</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Провеждане на нулеви тестове на налягането</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Анализ на налягането</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Въвеждане</w:t>
      </w:r>
      <w:r w:rsidR="009C7B98">
        <w:rPr>
          <w:color w:val="000000"/>
          <w:sz w:val="24"/>
          <w:szCs w:val="24"/>
        </w:rPr>
        <w:t xml:space="preserve"> на съоръженията в експлоатация.</w:t>
      </w:r>
    </w:p>
    <w:p w:rsidR="002F203F" w:rsidRPr="00092274" w:rsidRDefault="002F203F" w:rsidP="00092274">
      <w:pPr>
        <w:spacing w:beforeAutospacing="1" w:afterAutospacing="1" w:line="300" w:lineRule="atLeast"/>
        <w:ind w:left="720"/>
        <w:rPr>
          <w:color w:val="000000"/>
          <w:sz w:val="24"/>
          <w:szCs w:val="24"/>
        </w:rPr>
      </w:pPr>
    </w:p>
    <w:p w:rsidR="002F203F" w:rsidRPr="00092274"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lastRenderedPageBreak/>
        <w:t>ДОСТАВЕНИ ИЗДЕЛИЯ И ПОДОБРЕНИЯ НА АКТИВИТЕ</w:t>
      </w:r>
      <w:r w:rsidRPr="00092274">
        <w:rPr>
          <w:color w:val="000000"/>
          <w:sz w:val="24"/>
          <w:szCs w:val="24"/>
        </w:rPr>
        <w:br/>
        <w:t xml:space="preserve">През последните 12 месеца за изпълнение на дейностите по програмата са осъществени следните мероприятия: </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143 бр. - монтирани нови спирателни кранове (СК) (</w:t>
      </w:r>
      <w:r w:rsidR="009C7B98">
        <w:rPr>
          <w:color w:val="000000"/>
          <w:sz w:val="24"/>
          <w:szCs w:val="24"/>
        </w:rPr>
        <w:t>гранични и вътрешни по мрежата).</w:t>
      </w:r>
    </w:p>
    <w:p w:rsidR="002F203F" w:rsidRPr="00092274" w:rsidRDefault="009C7B98" w:rsidP="00092274">
      <w:pPr>
        <w:numPr>
          <w:ilvl w:val="1"/>
          <w:numId w:val="7"/>
        </w:numPr>
        <w:spacing w:before="100" w:beforeAutospacing="1" w:after="100" w:afterAutospacing="1" w:line="300" w:lineRule="atLeast"/>
        <w:rPr>
          <w:color w:val="000000"/>
          <w:sz w:val="24"/>
          <w:szCs w:val="24"/>
        </w:rPr>
      </w:pPr>
      <w:r>
        <w:rPr>
          <w:color w:val="000000"/>
          <w:sz w:val="24"/>
          <w:szCs w:val="24"/>
        </w:rPr>
        <w:t>308 бр. - ремонтирани СК.</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170 бр. - манипулации със СК</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21 бр. - изградени нови връзки, пресвързвания</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Закупуване на 20 бр. механични дебитомера - пълен комплект</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 xml:space="preserve">Строителство на около 95 водомерни шахти. През предходен период са изградени 149 броя. 26 бр. шахти са в процес на изграждане. </w:t>
      </w:r>
    </w:p>
    <w:p w:rsidR="002F203F" w:rsidRPr="00092274" w:rsidRDefault="002F203F" w:rsidP="00092274">
      <w:pPr>
        <w:spacing w:beforeAutospacing="1" w:afterAutospacing="1" w:line="300" w:lineRule="atLeast"/>
        <w:ind w:left="720"/>
        <w:rPr>
          <w:color w:val="000000"/>
          <w:sz w:val="24"/>
          <w:szCs w:val="24"/>
        </w:rPr>
      </w:pPr>
    </w:p>
    <w:p w:rsidR="002F203F"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t>ВРЪЗКИ С ДРУГИ ПРОЕКТИ/ДЕЙНОСТИ</w:t>
      </w:r>
      <w:r w:rsidRPr="00092274">
        <w:rPr>
          <w:color w:val="000000"/>
          <w:sz w:val="24"/>
          <w:szCs w:val="24"/>
        </w:rPr>
        <w:br/>
        <w:t xml:space="preserve">DMA програмата е пряко свързана и в непосредствено взаимодействие със стратегията за НВК, детайлния модел на мрежата и РМА програмата. ДМА зоните са необходимо условие за управление на налягането, намаляване на течовете и разработване на разширените модели. Проектът допринася за изпълнението на изискванията дефинирани в Анекс 3 на Договора за концесия. </w:t>
      </w:r>
    </w:p>
    <w:p w:rsidR="002F203F" w:rsidRPr="00092274" w:rsidRDefault="002F203F" w:rsidP="00092274">
      <w:pPr>
        <w:numPr>
          <w:ilvl w:val="0"/>
          <w:numId w:val="7"/>
        </w:numPr>
        <w:spacing w:before="100" w:beforeAutospacing="1" w:after="100" w:afterAutospacing="1" w:line="300" w:lineRule="atLeast"/>
        <w:rPr>
          <w:color w:val="000000"/>
          <w:sz w:val="24"/>
          <w:szCs w:val="24"/>
        </w:rPr>
      </w:pPr>
      <w:r w:rsidRPr="00092274">
        <w:rPr>
          <w:b/>
          <w:bCs/>
          <w:color w:val="000000"/>
          <w:sz w:val="24"/>
          <w:szCs w:val="24"/>
        </w:rPr>
        <w:t>ВЪЗДЕЙСТВИЕ</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Намаляване прекъсванията на водоподаването чрез осигуряване на възможност за изолиране на по-малки зони при извършване на дейности по поддръжка на мрежата и/или аварийни ремонти.</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Подобряване организацията на експлоатационните дейности</w:t>
      </w:r>
      <w:r w:rsidR="009C7B98">
        <w:rPr>
          <w:color w:val="000000"/>
          <w:sz w:val="24"/>
          <w:szCs w:val="24"/>
          <w:lang w:val="bg-BG"/>
        </w:rPr>
        <w:t>.</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Помощен инструмент при вземането на управленски ре</w:t>
      </w:r>
      <w:r w:rsidR="009C7B98">
        <w:rPr>
          <w:color w:val="000000"/>
          <w:sz w:val="24"/>
          <w:szCs w:val="24"/>
        </w:rPr>
        <w:t>шения и инвестиционно планиране.</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Чрез създаването на връзка между DMA зоните и системата за фактуриране Affinity ще бъде възможно да се определи географското местоположение на областите с високи</w:t>
      </w:r>
      <w:r w:rsidR="009C7B98">
        <w:rPr>
          <w:color w:val="000000"/>
          <w:sz w:val="24"/>
          <w:szCs w:val="24"/>
        </w:rPr>
        <w:t xml:space="preserve"> нива на НВК и търговски загуби.</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Телефонният център ще разполага с по-голяма яснота относно зоните, където се извършват ремонтни и строителни работи, като по този начин ще могат да предоставят</w:t>
      </w:r>
      <w:r w:rsidR="009C7B98">
        <w:rPr>
          <w:color w:val="000000"/>
          <w:sz w:val="24"/>
          <w:szCs w:val="24"/>
        </w:rPr>
        <w:t xml:space="preserve"> повече информация на клиентите.</w:t>
      </w:r>
    </w:p>
    <w:p w:rsidR="002F203F" w:rsidRPr="00092274" w:rsidRDefault="002F203F" w:rsidP="00092274">
      <w:pPr>
        <w:numPr>
          <w:ilvl w:val="1"/>
          <w:numId w:val="7"/>
        </w:numPr>
        <w:spacing w:before="100" w:beforeAutospacing="1" w:after="100" w:afterAutospacing="1" w:line="300" w:lineRule="atLeast"/>
        <w:rPr>
          <w:color w:val="000000"/>
          <w:sz w:val="24"/>
          <w:szCs w:val="24"/>
        </w:rPr>
      </w:pPr>
      <w:r w:rsidRPr="00092274">
        <w:rPr>
          <w:color w:val="000000"/>
          <w:sz w:val="24"/>
          <w:szCs w:val="24"/>
        </w:rPr>
        <w:t xml:space="preserve">Цялостно подобрение на процесите по администриране, организация и управление на мрежата. </w:t>
      </w:r>
    </w:p>
    <w:p w:rsidR="00A21DA3" w:rsidRPr="00092274" w:rsidRDefault="002F203F" w:rsidP="00092274">
      <w:pPr>
        <w:spacing w:beforeAutospacing="1" w:after="240" w:line="300" w:lineRule="atLeast"/>
        <w:ind w:left="720"/>
        <w:rPr>
          <w:sz w:val="24"/>
          <w:szCs w:val="24"/>
        </w:rPr>
      </w:pPr>
      <w:r w:rsidRPr="00092274">
        <w:rPr>
          <w:color w:val="000000"/>
          <w:sz w:val="24"/>
          <w:szCs w:val="24"/>
        </w:rPr>
        <w:lastRenderedPageBreak/>
        <w:br/>
      </w:r>
      <w:r w:rsidR="000B5D3E">
        <w:rPr>
          <w:noProof/>
          <w:lang w:val="bg-BG" w:eastAsia="bg-BG"/>
        </w:rPr>
        <w:drawing>
          <wp:inline distT="0" distB="0" distL="0" distR="0">
            <wp:extent cx="5090795" cy="3166110"/>
            <wp:effectExtent l="0" t="0" r="0" b="0"/>
            <wp:docPr id="2" name="Картина 2" descr="Development of a Leakage Control System at the Water Supply Network of the  City of Pa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velopment of a Leakage Control System at the Water Supply Network of the  City of Patr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0795" cy="3166110"/>
                    </a:xfrm>
                    <a:prstGeom prst="rect">
                      <a:avLst/>
                    </a:prstGeom>
                    <a:noFill/>
                    <a:ln>
                      <a:noFill/>
                    </a:ln>
                  </pic:spPr>
                </pic:pic>
              </a:graphicData>
            </a:graphic>
          </wp:inline>
        </w:drawing>
      </w:r>
    </w:p>
    <w:sectPr w:rsidR="00A21DA3" w:rsidRPr="00092274">
      <w:headerReference w:type="default" r:id="rId9"/>
      <w:pgSz w:w="12240" w:h="15840" w:code="1"/>
      <w:pgMar w:top="567" w:right="567" w:bottom="851" w:left="1134" w:header="227"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0CA" w:rsidRDefault="005570CA">
      <w:r>
        <w:separator/>
      </w:r>
    </w:p>
  </w:endnote>
  <w:endnote w:type="continuationSeparator" w:id="0">
    <w:p w:rsidR="005570CA" w:rsidRDefault="0055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0CA" w:rsidRDefault="005570CA">
      <w:r>
        <w:separator/>
      </w:r>
    </w:p>
  </w:footnote>
  <w:footnote w:type="continuationSeparator" w:id="0">
    <w:p w:rsidR="005570CA" w:rsidRDefault="00557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A3" w:rsidRDefault="00A21DA3">
    <w:pPr>
      <w:pStyle w:val="a3"/>
    </w:pPr>
    <w:r>
      <w:rPr>
        <w:snapToGrid w:val="0"/>
      </w:rPr>
      <w:fldChar w:fldCharType="begin"/>
    </w:r>
    <w:r>
      <w:rPr>
        <w:snapToGrid w:val="0"/>
      </w:rPr>
      <w:instrText xml:space="preserve"> FILENAME </w:instrText>
    </w:r>
    <w:r>
      <w:rPr>
        <w:snapToGrid w:val="0"/>
      </w:rPr>
      <w:fldChar w:fldCharType="separate"/>
    </w:r>
    <w:r>
      <w:rPr>
        <w:noProof/>
        <w:snapToGrid w:val="0"/>
      </w:rPr>
      <w:t>Document1</w:t>
    </w:r>
    <w:r>
      <w:rPr>
        <w:snapToGrid w:val="0"/>
      </w:rPr>
      <w:fldChar w:fldCharType="end"/>
    </w:r>
    <w:r>
      <w:tab/>
    </w:r>
    <w:r>
      <w:tab/>
    </w:r>
    <w:r>
      <w:fldChar w:fldCharType="begin"/>
    </w:r>
    <w:r>
      <w:instrText xml:space="preserve"> DATE \@ "dd.M.yyyy 'г.'" </w:instrText>
    </w:r>
    <w:r>
      <w:fldChar w:fldCharType="separate"/>
    </w:r>
    <w:r w:rsidR="000B5D3E">
      <w:rPr>
        <w:noProof/>
      </w:rPr>
      <w:t>21.4.2026 г.</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B0EC3"/>
    <w:multiLevelType w:val="multilevel"/>
    <w:tmpl w:val="07522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37351"/>
    <w:multiLevelType w:val="hybridMultilevel"/>
    <w:tmpl w:val="5816C98C"/>
    <w:lvl w:ilvl="0" w:tplc="91F61A4A">
      <w:start w:val="1"/>
      <w:numFmt w:val="bullet"/>
      <w:lvlText w:val=""/>
      <w:lvlJc w:val="left"/>
      <w:pPr>
        <w:tabs>
          <w:tab w:val="num" w:pos="720"/>
        </w:tabs>
        <w:ind w:left="720" w:hanging="360"/>
      </w:pPr>
      <w:rPr>
        <w:rFonts w:ascii="Symbol" w:hAnsi="Symbol" w:hint="default"/>
        <w:sz w:val="20"/>
      </w:rPr>
    </w:lvl>
    <w:lvl w:ilvl="1" w:tplc="03C2633A" w:tentative="1">
      <w:start w:val="1"/>
      <w:numFmt w:val="bullet"/>
      <w:lvlText w:val="o"/>
      <w:lvlJc w:val="left"/>
      <w:pPr>
        <w:tabs>
          <w:tab w:val="num" w:pos="1440"/>
        </w:tabs>
        <w:ind w:left="1440" w:hanging="360"/>
      </w:pPr>
      <w:rPr>
        <w:rFonts w:ascii="Courier New" w:hAnsi="Courier New" w:hint="default"/>
        <w:sz w:val="20"/>
      </w:rPr>
    </w:lvl>
    <w:lvl w:ilvl="2" w:tplc="28825812" w:tentative="1">
      <w:start w:val="1"/>
      <w:numFmt w:val="bullet"/>
      <w:lvlText w:val=""/>
      <w:lvlJc w:val="left"/>
      <w:pPr>
        <w:tabs>
          <w:tab w:val="num" w:pos="2160"/>
        </w:tabs>
        <w:ind w:left="2160" w:hanging="360"/>
      </w:pPr>
      <w:rPr>
        <w:rFonts w:ascii="Wingdings" w:hAnsi="Wingdings" w:hint="default"/>
        <w:sz w:val="20"/>
      </w:rPr>
    </w:lvl>
    <w:lvl w:ilvl="3" w:tplc="43A8DE18" w:tentative="1">
      <w:start w:val="1"/>
      <w:numFmt w:val="bullet"/>
      <w:lvlText w:val=""/>
      <w:lvlJc w:val="left"/>
      <w:pPr>
        <w:tabs>
          <w:tab w:val="num" w:pos="2880"/>
        </w:tabs>
        <w:ind w:left="2880" w:hanging="360"/>
      </w:pPr>
      <w:rPr>
        <w:rFonts w:ascii="Wingdings" w:hAnsi="Wingdings" w:hint="default"/>
        <w:sz w:val="20"/>
      </w:rPr>
    </w:lvl>
    <w:lvl w:ilvl="4" w:tplc="EAE4EEF4" w:tentative="1">
      <w:start w:val="1"/>
      <w:numFmt w:val="bullet"/>
      <w:lvlText w:val=""/>
      <w:lvlJc w:val="left"/>
      <w:pPr>
        <w:tabs>
          <w:tab w:val="num" w:pos="3600"/>
        </w:tabs>
        <w:ind w:left="3600" w:hanging="360"/>
      </w:pPr>
      <w:rPr>
        <w:rFonts w:ascii="Wingdings" w:hAnsi="Wingdings" w:hint="default"/>
        <w:sz w:val="20"/>
      </w:rPr>
    </w:lvl>
    <w:lvl w:ilvl="5" w:tplc="9C54AE38" w:tentative="1">
      <w:start w:val="1"/>
      <w:numFmt w:val="bullet"/>
      <w:lvlText w:val=""/>
      <w:lvlJc w:val="left"/>
      <w:pPr>
        <w:tabs>
          <w:tab w:val="num" w:pos="4320"/>
        </w:tabs>
        <w:ind w:left="4320" w:hanging="360"/>
      </w:pPr>
      <w:rPr>
        <w:rFonts w:ascii="Wingdings" w:hAnsi="Wingdings" w:hint="default"/>
        <w:sz w:val="20"/>
      </w:rPr>
    </w:lvl>
    <w:lvl w:ilvl="6" w:tplc="4B8A7302" w:tentative="1">
      <w:start w:val="1"/>
      <w:numFmt w:val="bullet"/>
      <w:lvlText w:val=""/>
      <w:lvlJc w:val="left"/>
      <w:pPr>
        <w:tabs>
          <w:tab w:val="num" w:pos="5040"/>
        </w:tabs>
        <w:ind w:left="5040" w:hanging="360"/>
      </w:pPr>
      <w:rPr>
        <w:rFonts w:ascii="Wingdings" w:hAnsi="Wingdings" w:hint="default"/>
        <w:sz w:val="20"/>
      </w:rPr>
    </w:lvl>
    <w:lvl w:ilvl="7" w:tplc="8FB8012C" w:tentative="1">
      <w:start w:val="1"/>
      <w:numFmt w:val="bullet"/>
      <w:lvlText w:val=""/>
      <w:lvlJc w:val="left"/>
      <w:pPr>
        <w:tabs>
          <w:tab w:val="num" w:pos="5760"/>
        </w:tabs>
        <w:ind w:left="5760" w:hanging="360"/>
      </w:pPr>
      <w:rPr>
        <w:rFonts w:ascii="Wingdings" w:hAnsi="Wingdings" w:hint="default"/>
        <w:sz w:val="20"/>
      </w:rPr>
    </w:lvl>
    <w:lvl w:ilvl="8" w:tplc="7228D5D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92A05"/>
    <w:multiLevelType w:val="hybridMultilevel"/>
    <w:tmpl w:val="5DC02B06"/>
    <w:lvl w:ilvl="0" w:tplc="0FBE66DE">
      <w:start w:val="1"/>
      <w:numFmt w:val="bullet"/>
      <w:lvlText w:val=""/>
      <w:lvlJc w:val="left"/>
      <w:pPr>
        <w:tabs>
          <w:tab w:val="num" w:pos="720"/>
        </w:tabs>
        <w:ind w:left="720" w:hanging="360"/>
      </w:pPr>
      <w:rPr>
        <w:rFonts w:ascii="Symbol" w:hAnsi="Symbol" w:hint="default"/>
        <w:sz w:val="20"/>
      </w:rPr>
    </w:lvl>
    <w:lvl w:ilvl="1" w:tplc="BEEA8F34" w:tentative="1">
      <w:start w:val="1"/>
      <w:numFmt w:val="bullet"/>
      <w:lvlText w:val="o"/>
      <w:lvlJc w:val="left"/>
      <w:pPr>
        <w:tabs>
          <w:tab w:val="num" w:pos="1440"/>
        </w:tabs>
        <w:ind w:left="1440" w:hanging="360"/>
      </w:pPr>
      <w:rPr>
        <w:rFonts w:ascii="Courier New" w:hAnsi="Courier New" w:hint="default"/>
        <w:sz w:val="20"/>
      </w:rPr>
    </w:lvl>
    <w:lvl w:ilvl="2" w:tplc="3AFE72DC" w:tentative="1">
      <w:start w:val="1"/>
      <w:numFmt w:val="bullet"/>
      <w:lvlText w:val=""/>
      <w:lvlJc w:val="left"/>
      <w:pPr>
        <w:tabs>
          <w:tab w:val="num" w:pos="2160"/>
        </w:tabs>
        <w:ind w:left="2160" w:hanging="360"/>
      </w:pPr>
      <w:rPr>
        <w:rFonts w:ascii="Wingdings" w:hAnsi="Wingdings" w:hint="default"/>
        <w:sz w:val="20"/>
      </w:rPr>
    </w:lvl>
    <w:lvl w:ilvl="3" w:tplc="E84EAF86" w:tentative="1">
      <w:start w:val="1"/>
      <w:numFmt w:val="bullet"/>
      <w:lvlText w:val=""/>
      <w:lvlJc w:val="left"/>
      <w:pPr>
        <w:tabs>
          <w:tab w:val="num" w:pos="2880"/>
        </w:tabs>
        <w:ind w:left="2880" w:hanging="360"/>
      </w:pPr>
      <w:rPr>
        <w:rFonts w:ascii="Wingdings" w:hAnsi="Wingdings" w:hint="default"/>
        <w:sz w:val="20"/>
      </w:rPr>
    </w:lvl>
    <w:lvl w:ilvl="4" w:tplc="2AF6A2AA" w:tentative="1">
      <w:start w:val="1"/>
      <w:numFmt w:val="bullet"/>
      <w:lvlText w:val=""/>
      <w:lvlJc w:val="left"/>
      <w:pPr>
        <w:tabs>
          <w:tab w:val="num" w:pos="3600"/>
        </w:tabs>
        <w:ind w:left="3600" w:hanging="360"/>
      </w:pPr>
      <w:rPr>
        <w:rFonts w:ascii="Wingdings" w:hAnsi="Wingdings" w:hint="default"/>
        <w:sz w:val="20"/>
      </w:rPr>
    </w:lvl>
    <w:lvl w:ilvl="5" w:tplc="D7FEBB2A" w:tentative="1">
      <w:start w:val="1"/>
      <w:numFmt w:val="bullet"/>
      <w:lvlText w:val=""/>
      <w:lvlJc w:val="left"/>
      <w:pPr>
        <w:tabs>
          <w:tab w:val="num" w:pos="4320"/>
        </w:tabs>
        <w:ind w:left="4320" w:hanging="360"/>
      </w:pPr>
      <w:rPr>
        <w:rFonts w:ascii="Wingdings" w:hAnsi="Wingdings" w:hint="default"/>
        <w:sz w:val="20"/>
      </w:rPr>
    </w:lvl>
    <w:lvl w:ilvl="6" w:tplc="B6764022" w:tentative="1">
      <w:start w:val="1"/>
      <w:numFmt w:val="bullet"/>
      <w:lvlText w:val=""/>
      <w:lvlJc w:val="left"/>
      <w:pPr>
        <w:tabs>
          <w:tab w:val="num" w:pos="5040"/>
        </w:tabs>
        <w:ind w:left="5040" w:hanging="360"/>
      </w:pPr>
      <w:rPr>
        <w:rFonts w:ascii="Wingdings" w:hAnsi="Wingdings" w:hint="default"/>
        <w:sz w:val="20"/>
      </w:rPr>
    </w:lvl>
    <w:lvl w:ilvl="7" w:tplc="ABAC7C7C" w:tentative="1">
      <w:start w:val="1"/>
      <w:numFmt w:val="bullet"/>
      <w:lvlText w:val=""/>
      <w:lvlJc w:val="left"/>
      <w:pPr>
        <w:tabs>
          <w:tab w:val="num" w:pos="5760"/>
        </w:tabs>
        <w:ind w:left="5760" w:hanging="360"/>
      </w:pPr>
      <w:rPr>
        <w:rFonts w:ascii="Wingdings" w:hAnsi="Wingdings" w:hint="default"/>
        <w:sz w:val="20"/>
      </w:rPr>
    </w:lvl>
    <w:lvl w:ilvl="8" w:tplc="4732A19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C21F1"/>
    <w:multiLevelType w:val="hybridMultilevel"/>
    <w:tmpl w:val="BA222FFA"/>
    <w:lvl w:ilvl="0" w:tplc="ED6C0908">
      <w:start w:val="1"/>
      <w:numFmt w:val="bullet"/>
      <w:lvlText w:val=""/>
      <w:lvlJc w:val="left"/>
      <w:pPr>
        <w:tabs>
          <w:tab w:val="num" w:pos="720"/>
        </w:tabs>
        <w:ind w:left="720" w:hanging="360"/>
      </w:pPr>
      <w:rPr>
        <w:rFonts w:ascii="Symbol" w:hAnsi="Symbol" w:hint="default"/>
        <w:sz w:val="20"/>
      </w:rPr>
    </w:lvl>
    <w:lvl w:ilvl="1" w:tplc="D7E61196" w:tentative="1">
      <w:start w:val="1"/>
      <w:numFmt w:val="bullet"/>
      <w:lvlText w:val="o"/>
      <w:lvlJc w:val="left"/>
      <w:pPr>
        <w:tabs>
          <w:tab w:val="num" w:pos="1440"/>
        </w:tabs>
        <w:ind w:left="1440" w:hanging="360"/>
      </w:pPr>
      <w:rPr>
        <w:rFonts w:ascii="Courier New" w:hAnsi="Courier New" w:hint="default"/>
        <w:sz w:val="20"/>
      </w:rPr>
    </w:lvl>
    <w:lvl w:ilvl="2" w:tplc="EBCEFA5E" w:tentative="1">
      <w:start w:val="1"/>
      <w:numFmt w:val="bullet"/>
      <w:lvlText w:val=""/>
      <w:lvlJc w:val="left"/>
      <w:pPr>
        <w:tabs>
          <w:tab w:val="num" w:pos="2160"/>
        </w:tabs>
        <w:ind w:left="2160" w:hanging="360"/>
      </w:pPr>
      <w:rPr>
        <w:rFonts w:ascii="Wingdings" w:hAnsi="Wingdings" w:hint="default"/>
        <w:sz w:val="20"/>
      </w:rPr>
    </w:lvl>
    <w:lvl w:ilvl="3" w:tplc="91920C78" w:tentative="1">
      <w:start w:val="1"/>
      <w:numFmt w:val="bullet"/>
      <w:lvlText w:val=""/>
      <w:lvlJc w:val="left"/>
      <w:pPr>
        <w:tabs>
          <w:tab w:val="num" w:pos="2880"/>
        </w:tabs>
        <w:ind w:left="2880" w:hanging="360"/>
      </w:pPr>
      <w:rPr>
        <w:rFonts w:ascii="Wingdings" w:hAnsi="Wingdings" w:hint="default"/>
        <w:sz w:val="20"/>
      </w:rPr>
    </w:lvl>
    <w:lvl w:ilvl="4" w:tplc="B95C76F4" w:tentative="1">
      <w:start w:val="1"/>
      <w:numFmt w:val="bullet"/>
      <w:lvlText w:val=""/>
      <w:lvlJc w:val="left"/>
      <w:pPr>
        <w:tabs>
          <w:tab w:val="num" w:pos="3600"/>
        </w:tabs>
        <w:ind w:left="3600" w:hanging="360"/>
      </w:pPr>
      <w:rPr>
        <w:rFonts w:ascii="Wingdings" w:hAnsi="Wingdings" w:hint="default"/>
        <w:sz w:val="20"/>
      </w:rPr>
    </w:lvl>
    <w:lvl w:ilvl="5" w:tplc="D708FE3C" w:tentative="1">
      <w:start w:val="1"/>
      <w:numFmt w:val="bullet"/>
      <w:lvlText w:val=""/>
      <w:lvlJc w:val="left"/>
      <w:pPr>
        <w:tabs>
          <w:tab w:val="num" w:pos="4320"/>
        </w:tabs>
        <w:ind w:left="4320" w:hanging="360"/>
      </w:pPr>
      <w:rPr>
        <w:rFonts w:ascii="Wingdings" w:hAnsi="Wingdings" w:hint="default"/>
        <w:sz w:val="20"/>
      </w:rPr>
    </w:lvl>
    <w:lvl w:ilvl="6" w:tplc="ED743CA0" w:tentative="1">
      <w:start w:val="1"/>
      <w:numFmt w:val="bullet"/>
      <w:lvlText w:val=""/>
      <w:lvlJc w:val="left"/>
      <w:pPr>
        <w:tabs>
          <w:tab w:val="num" w:pos="5040"/>
        </w:tabs>
        <w:ind w:left="5040" w:hanging="360"/>
      </w:pPr>
      <w:rPr>
        <w:rFonts w:ascii="Wingdings" w:hAnsi="Wingdings" w:hint="default"/>
        <w:sz w:val="20"/>
      </w:rPr>
    </w:lvl>
    <w:lvl w:ilvl="7" w:tplc="3822E284" w:tentative="1">
      <w:start w:val="1"/>
      <w:numFmt w:val="bullet"/>
      <w:lvlText w:val=""/>
      <w:lvlJc w:val="left"/>
      <w:pPr>
        <w:tabs>
          <w:tab w:val="num" w:pos="5760"/>
        </w:tabs>
        <w:ind w:left="5760" w:hanging="360"/>
      </w:pPr>
      <w:rPr>
        <w:rFonts w:ascii="Wingdings" w:hAnsi="Wingdings" w:hint="default"/>
        <w:sz w:val="20"/>
      </w:rPr>
    </w:lvl>
    <w:lvl w:ilvl="8" w:tplc="A468B6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343E0"/>
    <w:multiLevelType w:val="hybridMultilevel"/>
    <w:tmpl w:val="33A2428C"/>
    <w:lvl w:ilvl="0" w:tplc="5520FEB6">
      <w:start w:val="1"/>
      <w:numFmt w:val="bullet"/>
      <w:lvlText w:val=""/>
      <w:lvlJc w:val="left"/>
      <w:pPr>
        <w:tabs>
          <w:tab w:val="num" w:pos="720"/>
        </w:tabs>
        <w:ind w:left="720" w:hanging="360"/>
      </w:pPr>
      <w:rPr>
        <w:rFonts w:ascii="Symbol" w:hAnsi="Symbol" w:hint="default"/>
        <w:sz w:val="20"/>
      </w:rPr>
    </w:lvl>
    <w:lvl w:ilvl="1" w:tplc="24EAA800" w:tentative="1">
      <w:start w:val="1"/>
      <w:numFmt w:val="bullet"/>
      <w:lvlText w:val="o"/>
      <w:lvlJc w:val="left"/>
      <w:pPr>
        <w:tabs>
          <w:tab w:val="num" w:pos="1440"/>
        </w:tabs>
        <w:ind w:left="1440" w:hanging="360"/>
      </w:pPr>
      <w:rPr>
        <w:rFonts w:ascii="Courier New" w:hAnsi="Courier New" w:hint="default"/>
        <w:sz w:val="20"/>
      </w:rPr>
    </w:lvl>
    <w:lvl w:ilvl="2" w:tplc="BB7E6A50" w:tentative="1">
      <w:start w:val="1"/>
      <w:numFmt w:val="bullet"/>
      <w:lvlText w:val=""/>
      <w:lvlJc w:val="left"/>
      <w:pPr>
        <w:tabs>
          <w:tab w:val="num" w:pos="2160"/>
        </w:tabs>
        <w:ind w:left="2160" w:hanging="360"/>
      </w:pPr>
      <w:rPr>
        <w:rFonts w:ascii="Wingdings" w:hAnsi="Wingdings" w:hint="default"/>
        <w:sz w:val="20"/>
      </w:rPr>
    </w:lvl>
    <w:lvl w:ilvl="3" w:tplc="DD84CC48" w:tentative="1">
      <w:start w:val="1"/>
      <w:numFmt w:val="bullet"/>
      <w:lvlText w:val=""/>
      <w:lvlJc w:val="left"/>
      <w:pPr>
        <w:tabs>
          <w:tab w:val="num" w:pos="2880"/>
        </w:tabs>
        <w:ind w:left="2880" w:hanging="360"/>
      </w:pPr>
      <w:rPr>
        <w:rFonts w:ascii="Wingdings" w:hAnsi="Wingdings" w:hint="default"/>
        <w:sz w:val="20"/>
      </w:rPr>
    </w:lvl>
    <w:lvl w:ilvl="4" w:tplc="670EF634" w:tentative="1">
      <w:start w:val="1"/>
      <w:numFmt w:val="bullet"/>
      <w:lvlText w:val=""/>
      <w:lvlJc w:val="left"/>
      <w:pPr>
        <w:tabs>
          <w:tab w:val="num" w:pos="3600"/>
        </w:tabs>
        <w:ind w:left="3600" w:hanging="360"/>
      </w:pPr>
      <w:rPr>
        <w:rFonts w:ascii="Wingdings" w:hAnsi="Wingdings" w:hint="default"/>
        <w:sz w:val="20"/>
      </w:rPr>
    </w:lvl>
    <w:lvl w:ilvl="5" w:tplc="C54A5800" w:tentative="1">
      <w:start w:val="1"/>
      <w:numFmt w:val="bullet"/>
      <w:lvlText w:val=""/>
      <w:lvlJc w:val="left"/>
      <w:pPr>
        <w:tabs>
          <w:tab w:val="num" w:pos="4320"/>
        </w:tabs>
        <w:ind w:left="4320" w:hanging="360"/>
      </w:pPr>
      <w:rPr>
        <w:rFonts w:ascii="Wingdings" w:hAnsi="Wingdings" w:hint="default"/>
        <w:sz w:val="20"/>
      </w:rPr>
    </w:lvl>
    <w:lvl w:ilvl="6" w:tplc="890E5EC0" w:tentative="1">
      <w:start w:val="1"/>
      <w:numFmt w:val="bullet"/>
      <w:lvlText w:val=""/>
      <w:lvlJc w:val="left"/>
      <w:pPr>
        <w:tabs>
          <w:tab w:val="num" w:pos="5040"/>
        </w:tabs>
        <w:ind w:left="5040" w:hanging="360"/>
      </w:pPr>
      <w:rPr>
        <w:rFonts w:ascii="Wingdings" w:hAnsi="Wingdings" w:hint="default"/>
        <w:sz w:val="20"/>
      </w:rPr>
    </w:lvl>
    <w:lvl w:ilvl="7" w:tplc="49FA5CF2" w:tentative="1">
      <w:start w:val="1"/>
      <w:numFmt w:val="bullet"/>
      <w:lvlText w:val=""/>
      <w:lvlJc w:val="left"/>
      <w:pPr>
        <w:tabs>
          <w:tab w:val="num" w:pos="5760"/>
        </w:tabs>
        <w:ind w:left="5760" w:hanging="360"/>
      </w:pPr>
      <w:rPr>
        <w:rFonts w:ascii="Wingdings" w:hAnsi="Wingdings" w:hint="default"/>
        <w:sz w:val="20"/>
      </w:rPr>
    </w:lvl>
    <w:lvl w:ilvl="8" w:tplc="4A5C1E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F7ACF"/>
    <w:multiLevelType w:val="hybridMultilevel"/>
    <w:tmpl w:val="43EC25AC"/>
    <w:lvl w:ilvl="0" w:tplc="7F709420">
      <w:start w:val="1"/>
      <w:numFmt w:val="bullet"/>
      <w:lvlText w:val=""/>
      <w:lvlJc w:val="left"/>
      <w:pPr>
        <w:tabs>
          <w:tab w:val="num" w:pos="720"/>
        </w:tabs>
        <w:ind w:left="720" w:hanging="360"/>
      </w:pPr>
      <w:rPr>
        <w:rFonts w:ascii="Symbol" w:hAnsi="Symbol" w:hint="default"/>
        <w:sz w:val="20"/>
      </w:rPr>
    </w:lvl>
    <w:lvl w:ilvl="1" w:tplc="3A10D870">
      <w:start w:val="1"/>
      <w:numFmt w:val="bullet"/>
      <w:lvlText w:val="o"/>
      <w:lvlJc w:val="left"/>
      <w:pPr>
        <w:tabs>
          <w:tab w:val="num" w:pos="1440"/>
        </w:tabs>
        <w:ind w:left="1440" w:hanging="360"/>
      </w:pPr>
      <w:rPr>
        <w:rFonts w:ascii="Courier New" w:hAnsi="Courier New" w:hint="default"/>
        <w:sz w:val="20"/>
      </w:rPr>
    </w:lvl>
    <w:lvl w:ilvl="2" w:tplc="C2585890" w:tentative="1">
      <w:start w:val="1"/>
      <w:numFmt w:val="bullet"/>
      <w:lvlText w:val=""/>
      <w:lvlJc w:val="left"/>
      <w:pPr>
        <w:tabs>
          <w:tab w:val="num" w:pos="2160"/>
        </w:tabs>
        <w:ind w:left="2160" w:hanging="360"/>
      </w:pPr>
      <w:rPr>
        <w:rFonts w:ascii="Wingdings" w:hAnsi="Wingdings" w:hint="default"/>
        <w:sz w:val="20"/>
      </w:rPr>
    </w:lvl>
    <w:lvl w:ilvl="3" w:tplc="F650FE10" w:tentative="1">
      <w:start w:val="1"/>
      <w:numFmt w:val="bullet"/>
      <w:lvlText w:val=""/>
      <w:lvlJc w:val="left"/>
      <w:pPr>
        <w:tabs>
          <w:tab w:val="num" w:pos="2880"/>
        </w:tabs>
        <w:ind w:left="2880" w:hanging="360"/>
      </w:pPr>
      <w:rPr>
        <w:rFonts w:ascii="Wingdings" w:hAnsi="Wingdings" w:hint="default"/>
        <w:sz w:val="20"/>
      </w:rPr>
    </w:lvl>
    <w:lvl w:ilvl="4" w:tplc="2EB8CAA2" w:tentative="1">
      <w:start w:val="1"/>
      <w:numFmt w:val="bullet"/>
      <w:lvlText w:val=""/>
      <w:lvlJc w:val="left"/>
      <w:pPr>
        <w:tabs>
          <w:tab w:val="num" w:pos="3600"/>
        </w:tabs>
        <w:ind w:left="3600" w:hanging="360"/>
      </w:pPr>
      <w:rPr>
        <w:rFonts w:ascii="Wingdings" w:hAnsi="Wingdings" w:hint="default"/>
        <w:sz w:val="20"/>
      </w:rPr>
    </w:lvl>
    <w:lvl w:ilvl="5" w:tplc="240AE5D0" w:tentative="1">
      <w:start w:val="1"/>
      <w:numFmt w:val="bullet"/>
      <w:lvlText w:val=""/>
      <w:lvlJc w:val="left"/>
      <w:pPr>
        <w:tabs>
          <w:tab w:val="num" w:pos="4320"/>
        </w:tabs>
        <w:ind w:left="4320" w:hanging="360"/>
      </w:pPr>
      <w:rPr>
        <w:rFonts w:ascii="Wingdings" w:hAnsi="Wingdings" w:hint="default"/>
        <w:sz w:val="20"/>
      </w:rPr>
    </w:lvl>
    <w:lvl w:ilvl="6" w:tplc="FC7E1754" w:tentative="1">
      <w:start w:val="1"/>
      <w:numFmt w:val="bullet"/>
      <w:lvlText w:val=""/>
      <w:lvlJc w:val="left"/>
      <w:pPr>
        <w:tabs>
          <w:tab w:val="num" w:pos="5040"/>
        </w:tabs>
        <w:ind w:left="5040" w:hanging="360"/>
      </w:pPr>
      <w:rPr>
        <w:rFonts w:ascii="Wingdings" w:hAnsi="Wingdings" w:hint="default"/>
        <w:sz w:val="20"/>
      </w:rPr>
    </w:lvl>
    <w:lvl w:ilvl="7" w:tplc="65A83752" w:tentative="1">
      <w:start w:val="1"/>
      <w:numFmt w:val="bullet"/>
      <w:lvlText w:val=""/>
      <w:lvlJc w:val="left"/>
      <w:pPr>
        <w:tabs>
          <w:tab w:val="num" w:pos="5760"/>
        </w:tabs>
        <w:ind w:left="5760" w:hanging="360"/>
      </w:pPr>
      <w:rPr>
        <w:rFonts w:ascii="Wingdings" w:hAnsi="Wingdings" w:hint="default"/>
        <w:sz w:val="20"/>
      </w:rPr>
    </w:lvl>
    <w:lvl w:ilvl="8" w:tplc="D65C476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2868CF"/>
    <w:multiLevelType w:val="hybridMultilevel"/>
    <w:tmpl w:val="1354DDF8"/>
    <w:lvl w:ilvl="0" w:tplc="FF32E1EE">
      <w:start w:val="1"/>
      <w:numFmt w:val="bullet"/>
      <w:lvlText w:val=""/>
      <w:lvlJc w:val="left"/>
      <w:pPr>
        <w:tabs>
          <w:tab w:val="num" w:pos="720"/>
        </w:tabs>
        <w:ind w:left="720" w:hanging="360"/>
      </w:pPr>
      <w:rPr>
        <w:rFonts w:ascii="Symbol" w:hAnsi="Symbol" w:hint="default"/>
        <w:sz w:val="20"/>
      </w:rPr>
    </w:lvl>
    <w:lvl w:ilvl="1" w:tplc="F2DED812" w:tentative="1">
      <w:start w:val="1"/>
      <w:numFmt w:val="bullet"/>
      <w:lvlText w:val="o"/>
      <w:lvlJc w:val="left"/>
      <w:pPr>
        <w:tabs>
          <w:tab w:val="num" w:pos="1440"/>
        </w:tabs>
        <w:ind w:left="1440" w:hanging="360"/>
      </w:pPr>
      <w:rPr>
        <w:rFonts w:ascii="Courier New" w:hAnsi="Courier New" w:hint="default"/>
        <w:sz w:val="20"/>
      </w:rPr>
    </w:lvl>
    <w:lvl w:ilvl="2" w:tplc="A3D82670" w:tentative="1">
      <w:start w:val="1"/>
      <w:numFmt w:val="bullet"/>
      <w:lvlText w:val=""/>
      <w:lvlJc w:val="left"/>
      <w:pPr>
        <w:tabs>
          <w:tab w:val="num" w:pos="2160"/>
        </w:tabs>
        <w:ind w:left="2160" w:hanging="360"/>
      </w:pPr>
      <w:rPr>
        <w:rFonts w:ascii="Wingdings" w:hAnsi="Wingdings" w:hint="default"/>
        <w:sz w:val="20"/>
      </w:rPr>
    </w:lvl>
    <w:lvl w:ilvl="3" w:tplc="F78AF396" w:tentative="1">
      <w:start w:val="1"/>
      <w:numFmt w:val="bullet"/>
      <w:lvlText w:val=""/>
      <w:lvlJc w:val="left"/>
      <w:pPr>
        <w:tabs>
          <w:tab w:val="num" w:pos="2880"/>
        </w:tabs>
        <w:ind w:left="2880" w:hanging="360"/>
      </w:pPr>
      <w:rPr>
        <w:rFonts w:ascii="Wingdings" w:hAnsi="Wingdings" w:hint="default"/>
        <w:sz w:val="20"/>
      </w:rPr>
    </w:lvl>
    <w:lvl w:ilvl="4" w:tplc="532EA046" w:tentative="1">
      <w:start w:val="1"/>
      <w:numFmt w:val="bullet"/>
      <w:lvlText w:val=""/>
      <w:lvlJc w:val="left"/>
      <w:pPr>
        <w:tabs>
          <w:tab w:val="num" w:pos="3600"/>
        </w:tabs>
        <w:ind w:left="3600" w:hanging="360"/>
      </w:pPr>
      <w:rPr>
        <w:rFonts w:ascii="Wingdings" w:hAnsi="Wingdings" w:hint="default"/>
        <w:sz w:val="20"/>
      </w:rPr>
    </w:lvl>
    <w:lvl w:ilvl="5" w:tplc="3E8E25E6" w:tentative="1">
      <w:start w:val="1"/>
      <w:numFmt w:val="bullet"/>
      <w:lvlText w:val=""/>
      <w:lvlJc w:val="left"/>
      <w:pPr>
        <w:tabs>
          <w:tab w:val="num" w:pos="4320"/>
        </w:tabs>
        <w:ind w:left="4320" w:hanging="360"/>
      </w:pPr>
      <w:rPr>
        <w:rFonts w:ascii="Wingdings" w:hAnsi="Wingdings" w:hint="default"/>
        <w:sz w:val="20"/>
      </w:rPr>
    </w:lvl>
    <w:lvl w:ilvl="6" w:tplc="365019D4" w:tentative="1">
      <w:start w:val="1"/>
      <w:numFmt w:val="bullet"/>
      <w:lvlText w:val=""/>
      <w:lvlJc w:val="left"/>
      <w:pPr>
        <w:tabs>
          <w:tab w:val="num" w:pos="5040"/>
        </w:tabs>
        <w:ind w:left="5040" w:hanging="360"/>
      </w:pPr>
      <w:rPr>
        <w:rFonts w:ascii="Wingdings" w:hAnsi="Wingdings" w:hint="default"/>
        <w:sz w:val="20"/>
      </w:rPr>
    </w:lvl>
    <w:lvl w:ilvl="7" w:tplc="26526B1C" w:tentative="1">
      <w:start w:val="1"/>
      <w:numFmt w:val="bullet"/>
      <w:lvlText w:val=""/>
      <w:lvlJc w:val="left"/>
      <w:pPr>
        <w:tabs>
          <w:tab w:val="num" w:pos="5760"/>
        </w:tabs>
        <w:ind w:left="5760" w:hanging="360"/>
      </w:pPr>
      <w:rPr>
        <w:rFonts w:ascii="Wingdings" w:hAnsi="Wingdings" w:hint="default"/>
        <w:sz w:val="20"/>
      </w:rPr>
    </w:lvl>
    <w:lvl w:ilvl="8" w:tplc="97F640F4"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3F"/>
    <w:rsid w:val="00092274"/>
    <w:rsid w:val="000B5D3E"/>
    <w:rsid w:val="0015167D"/>
    <w:rsid w:val="002F203F"/>
    <w:rsid w:val="003E23D0"/>
    <w:rsid w:val="004B0080"/>
    <w:rsid w:val="004C4356"/>
    <w:rsid w:val="005570CA"/>
    <w:rsid w:val="009C7B98"/>
    <w:rsid w:val="00A21DA3"/>
    <w:rsid w:val="00B118A1"/>
    <w:rsid w:val="00B700F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60997A-83C3-46C9-A032-18B98E1F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Normal (Web)"/>
    <w:basedOn w:val="a"/>
    <w:pPr>
      <w:spacing w:before="100" w:beforeAutospacing="1" w:after="100" w:afterAutospacing="1"/>
    </w:pPr>
    <w:rPr>
      <w:color w:val="000000"/>
      <w:sz w:val="24"/>
      <w:szCs w:val="24"/>
      <w:lang w:val="en-GB"/>
    </w:rPr>
  </w:style>
  <w:style w:type="character" w:customStyle="1" w:styleId="kidmoto1">
    <w:name w:val="kid_moto1"/>
    <w:rPr>
      <w:b/>
      <w:bCs/>
      <w:color w:val="00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2337</Words>
  <Characters>13324</Characters>
  <Application>Microsoft Office Word</Application>
  <DocSecurity>0</DocSecurity>
  <Lines>111</Lines>
  <Paragraphs>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Проект: Моделиране на софийската водопроводна мрежа</vt:lpstr>
      <vt:lpstr>Проект: Моделиране на софийската водопроводна мрежа</vt:lpstr>
    </vt:vector>
  </TitlesOfParts>
  <Company>Vik</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Моделиране на софийската водопроводна мрежа</dc:title>
  <dc:subject/>
  <dc:creator>X03-22848</dc:creator>
  <cp:keywords/>
  <dc:description/>
  <cp:lastModifiedBy>Rumen Yordanov</cp:lastModifiedBy>
  <cp:revision>3</cp:revision>
  <dcterms:created xsi:type="dcterms:W3CDTF">2026-04-21T08:23:00Z</dcterms:created>
  <dcterms:modified xsi:type="dcterms:W3CDTF">2026-04-21T08:23:00Z</dcterms:modified>
</cp:coreProperties>
</file>