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6D0" w:rsidRPr="007176D0" w:rsidRDefault="007176D0" w:rsidP="004E45B6">
      <w:pPr>
        <w:pStyle w:val="a3"/>
        <w:spacing w:before="168" w:beforeAutospacing="0" w:after="216" w:afterAutospacing="0"/>
        <w:rPr>
          <w:rFonts w:ascii="Arial" w:hAnsi="Arial" w:cs="Arial"/>
          <w:color w:val="000000"/>
          <w:u w:val="single"/>
          <w:lang w:val="bg-BG"/>
        </w:rPr>
      </w:pPr>
      <w:r>
        <w:rPr>
          <w:rFonts w:ascii="Arial" w:hAnsi="Arial" w:cs="Arial"/>
          <w:color w:val="000000"/>
          <w:u w:val="single"/>
          <w:lang w:val="bg-BG"/>
        </w:rPr>
        <w:t>Вътрешно изолиране на връзките на тръбите</w:t>
      </w:r>
    </w:p>
    <w:p w:rsidR="004E45B6" w:rsidRPr="007176D0" w:rsidRDefault="004E45B6" w:rsidP="004E45B6">
      <w:pPr>
        <w:pStyle w:val="a3"/>
        <w:spacing w:before="168" w:beforeAutospacing="0" w:after="216" w:afterAutospacing="0"/>
        <w:rPr>
          <w:rFonts w:ascii="Arial" w:hAnsi="Arial" w:cs="Arial"/>
          <w:color w:val="000000"/>
          <w:lang w:val="bg-BG"/>
        </w:rPr>
      </w:pPr>
      <w:r w:rsidRPr="007176D0">
        <w:rPr>
          <w:rFonts w:ascii="Arial" w:hAnsi="Arial" w:cs="Arial"/>
          <w:color w:val="000000"/>
          <w:lang w:val="bg-BG"/>
        </w:rPr>
        <w:t>Фирми,</w:t>
      </w:r>
      <w:r w:rsidR="00284A85">
        <w:rPr>
          <w:rFonts w:ascii="Arial" w:hAnsi="Arial" w:cs="Arial"/>
          <w:color w:val="000000"/>
          <w:lang w:val="bg-BG"/>
        </w:rPr>
        <w:t xml:space="preserve"> </w:t>
      </w:r>
      <w:r w:rsidRPr="007176D0">
        <w:rPr>
          <w:rFonts w:ascii="Arial" w:hAnsi="Arial" w:cs="Arial"/>
          <w:color w:val="000000"/>
          <w:lang w:val="bg-BG"/>
        </w:rPr>
        <w:t>които произвеждат вътрешни уплътнители</w:t>
      </w:r>
    </w:p>
    <w:p w:rsidR="004E45B6" w:rsidRDefault="00387E7C" w:rsidP="000301CD">
      <w:pPr>
        <w:pStyle w:val="a3"/>
        <w:numPr>
          <w:ilvl w:val="0"/>
          <w:numId w:val="5"/>
        </w:numPr>
        <w:spacing w:before="0" w:beforeAutospacing="0" w:after="0" w:afterAutospacing="0"/>
        <w:ind w:left="357" w:hanging="357"/>
        <w:rPr>
          <w:rFonts w:ascii="Arial" w:hAnsi="Arial" w:cs="Arial"/>
          <w:color w:val="000000"/>
        </w:rPr>
      </w:pPr>
      <w:r>
        <w:rPr>
          <w:rFonts w:ascii="Arial" w:hAnsi="Arial" w:cs="Arial"/>
          <w:color w:val="000000"/>
        </w:rPr>
        <w:t xml:space="preserve">AMEX-10 </w:t>
      </w:r>
      <w:r>
        <w:rPr>
          <w:rFonts w:ascii="Arial" w:hAnsi="Arial" w:cs="Arial"/>
          <w:color w:val="000000"/>
          <w:lang w:val="bg-BG"/>
        </w:rPr>
        <w:t>немска фирма от Хамбург</w:t>
      </w:r>
    </w:p>
    <w:p w:rsidR="004E45B6" w:rsidRDefault="004E45B6" w:rsidP="000301CD">
      <w:pPr>
        <w:numPr>
          <w:ilvl w:val="0"/>
          <w:numId w:val="5"/>
        </w:numPr>
        <w:spacing w:line="120" w:lineRule="atLeast"/>
        <w:ind w:left="357" w:hanging="357"/>
        <w:rPr>
          <w:rFonts w:ascii="Arial" w:hAnsi="Arial" w:cs="Arial"/>
          <w:b/>
          <w:color w:val="A39D87"/>
          <w:spacing w:val="2"/>
          <w:sz w:val="28"/>
          <w:szCs w:val="28"/>
        </w:rPr>
      </w:pPr>
      <w:r w:rsidRPr="009E3C6D">
        <w:rPr>
          <w:rFonts w:ascii="Arial" w:hAnsi="Arial" w:cs="Arial"/>
          <w:b/>
          <w:color w:val="A39D87"/>
          <w:spacing w:val="2"/>
          <w:sz w:val="28"/>
          <w:szCs w:val="28"/>
        </w:rPr>
        <w:t>CRETEX</w:t>
      </w:r>
      <w:r>
        <w:rPr>
          <w:rFonts w:ascii="Arial" w:hAnsi="Arial" w:cs="Arial"/>
          <w:b/>
          <w:color w:val="A39D87"/>
          <w:spacing w:val="2"/>
          <w:sz w:val="28"/>
          <w:szCs w:val="28"/>
        </w:rPr>
        <w:t xml:space="preserve"> USA </w:t>
      </w:r>
    </w:p>
    <w:p w:rsidR="004E45B6" w:rsidRPr="00404832" w:rsidRDefault="004E45B6" w:rsidP="000301CD">
      <w:pPr>
        <w:numPr>
          <w:ilvl w:val="0"/>
          <w:numId w:val="5"/>
        </w:numPr>
        <w:spacing w:line="120" w:lineRule="atLeast"/>
        <w:ind w:left="357" w:hanging="357"/>
        <w:rPr>
          <w:rFonts w:ascii="Arial" w:hAnsi="Arial" w:cs="Arial"/>
          <w:b/>
          <w:color w:val="A39D87"/>
          <w:spacing w:val="2"/>
          <w:sz w:val="28"/>
          <w:szCs w:val="28"/>
        </w:rPr>
      </w:pPr>
      <w:r w:rsidRPr="00226BB8">
        <w:rPr>
          <w:rFonts w:ascii="Arial" w:hAnsi="Arial" w:cs="Arial"/>
          <w:color w:val="426669"/>
        </w:rPr>
        <w:t>Source One Environmental Company</w:t>
      </w:r>
      <w:r>
        <w:rPr>
          <w:rFonts w:ascii="Arial" w:hAnsi="Arial" w:cs="Arial"/>
          <w:color w:val="426669"/>
          <w:lang w:val="bg-BG"/>
        </w:rPr>
        <w:t xml:space="preserve">  </w:t>
      </w:r>
      <w:r>
        <w:rPr>
          <w:rFonts w:ascii="Arial" w:hAnsi="Arial" w:cs="Arial"/>
          <w:color w:val="426669"/>
        </w:rPr>
        <w:t>UK</w:t>
      </w:r>
    </w:p>
    <w:p w:rsidR="004E45B6" w:rsidRPr="00404832" w:rsidRDefault="004E45B6" w:rsidP="000301CD">
      <w:pPr>
        <w:numPr>
          <w:ilvl w:val="0"/>
          <w:numId w:val="5"/>
        </w:numPr>
        <w:spacing w:line="120" w:lineRule="atLeast"/>
        <w:ind w:left="357" w:hanging="357"/>
        <w:rPr>
          <w:rFonts w:ascii="Arial" w:hAnsi="Arial" w:cs="Arial"/>
          <w:b/>
          <w:color w:val="A39D87"/>
          <w:spacing w:val="2"/>
          <w:sz w:val="28"/>
          <w:szCs w:val="28"/>
        </w:rPr>
      </w:pPr>
      <w:r>
        <w:rPr>
          <w:rFonts w:ascii="Arial" w:hAnsi="Arial" w:cs="Arial"/>
          <w:color w:val="426669"/>
        </w:rPr>
        <w:t>WEKO USA</w:t>
      </w:r>
    </w:p>
    <w:p w:rsidR="004E45B6" w:rsidRPr="00404832" w:rsidRDefault="004E45B6" w:rsidP="004E45B6">
      <w:pPr>
        <w:numPr>
          <w:ilvl w:val="0"/>
          <w:numId w:val="5"/>
        </w:numPr>
        <w:spacing w:line="120" w:lineRule="atLeast"/>
        <w:rPr>
          <w:rFonts w:ascii="Arial" w:hAnsi="Arial" w:cs="Arial"/>
          <w:b/>
          <w:color w:val="A39D87"/>
          <w:spacing w:val="2"/>
          <w:sz w:val="28"/>
          <w:szCs w:val="28"/>
        </w:rPr>
      </w:pPr>
      <w:r>
        <w:rPr>
          <w:rFonts w:ascii="Arial" w:hAnsi="Arial" w:cs="Arial"/>
          <w:color w:val="426669"/>
        </w:rPr>
        <w:t>ITS Pipe Tech Australia</w:t>
      </w:r>
    </w:p>
    <w:p w:rsidR="00387E7C" w:rsidRDefault="000301CD" w:rsidP="000301CD">
      <w:pPr>
        <w:pStyle w:val="a3"/>
        <w:spacing w:before="0" w:beforeAutospacing="0" w:after="0" w:afterAutospacing="0"/>
        <w:rPr>
          <w:rFonts w:ascii="Arial" w:hAnsi="Arial" w:cs="Arial"/>
          <w:color w:val="000000"/>
          <w:lang w:val="bg-BG"/>
        </w:rPr>
      </w:pPr>
      <w:r>
        <w:rPr>
          <w:rFonts w:ascii="Arial" w:hAnsi="Arial" w:cs="Arial"/>
          <w:color w:val="000000"/>
          <w:lang w:val="bg-BG"/>
        </w:rPr>
        <w:t>Необходимо условие за използване на вътрешни уплътнения -</w:t>
      </w:r>
      <w:r w:rsidR="00387E7C">
        <w:rPr>
          <w:rFonts w:ascii="Arial" w:hAnsi="Arial" w:cs="Arial"/>
          <w:color w:val="000000"/>
          <w:lang w:val="bg-BG"/>
        </w:rPr>
        <w:t xml:space="preserve"> тръбата </w:t>
      </w:r>
      <w:r>
        <w:rPr>
          <w:rFonts w:ascii="Arial" w:hAnsi="Arial" w:cs="Arial"/>
          <w:color w:val="000000"/>
          <w:lang w:val="bg-BG"/>
        </w:rPr>
        <w:t xml:space="preserve">да </w:t>
      </w:r>
      <w:r w:rsidR="00387E7C">
        <w:rPr>
          <w:rFonts w:ascii="Arial" w:hAnsi="Arial" w:cs="Arial"/>
          <w:color w:val="000000"/>
          <w:lang w:val="bg-BG"/>
        </w:rPr>
        <w:t xml:space="preserve">е над ф600 и в нея </w:t>
      </w:r>
      <w:r>
        <w:rPr>
          <w:rFonts w:ascii="Arial" w:hAnsi="Arial" w:cs="Arial"/>
          <w:color w:val="000000"/>
          <w:lang w:val="bg-BG"/>
        </w:rPr>
        <w:t xml:space="preserve">да </w:t>
      </w:r>
      <w:r w:rsidR="00387E7C">
        <w:rPr>
          <w:rFonts w:ascii="Arial" w:hAnsi="Arial" w:cs="Arial"/>
          <w:color w:val="000000"/>
          <w:lang w:val="bg-BG"/>
        </w:rPr>
        <w:t xml:space="preserve">може </w:t>
      </w:r>
      <w:r>
        <w:rPr>
          <w:rFonts w:ascii="Arial" w:hAnsi="Arial" w:cs="Arial"/>
          <w:color w:val="000000"/>
          <w:lang w:val="bg-BG"/>
        </w:rPr>
        <w:t xml:space="preserve">да </w:t>
      </w:r>
      <w:r w:rsidR="00387E7C">
        <w:rPr>
          <w:rFonts w:ascii="Arial" w:hAnsi="Arial" w:cs="Arial"/>
          <w:color w:val="000000"/>
          <w:lang w:val="bg-BG"/>
        </w:rPr>
        <w:t xml:space="preserve">влезе човек и да монтира уплътнение от </w:t>
      </w:r>
      <w:r w:rsidR="00387E7C" w:rsidRPr="00226BB8">
        <w:rPr>
          <w:rFonts w:ascii="Arial" w:hAnsi="Arial" w:cs="Arial"/>
          <w:color w:val="000000"/>
        </w:rPr>
        <w:t> EPDM</w:t>
      </w:r>
      <w:r w:rsidR="00387E7C">
        <w:rPr>
          <w:rFonts w:ascii="Arial" w:hAnsi="Arial" w:cs="Arial"/>
          <w:color w:val="000000"/>
          <w:lang w:val="bg-BG"/>
        </w:rPr>
        <w:t xml:space="preserve"> с метални ленти от двата края.</w:t>
      </w:r>
      <w:r w:rsidR="00284A85">
        <w:rPr>
          <w:rFonts w:ascii="Arial" w:hAnsi="Arial" w:cs="Arial"/>
          <w:color w:val="000000"/>
          <w:lang w:val="bg-BG"/>
        </w:rPr>
        <w:t xml:space="preserve"> </w:t>
      </w:r>
      <w:r w:rsidR="00387E7C">
        <w:rPr>
          <w:rFonts w:ascii="Arial" w:hAnsi="Arial" w:cs="Arial"/>
          <w:color w:val="000000"/>
          <w:lang w:val="bg-BG"/>
        </w:rPr>
        <w:t>Преди да се постави уплътнението трябва да се загладят с епоксидна замазка всички неравности.</w:t>
      </w:r>
    </w:p>
    <w:p w:rsidR="00387E7C" w:rsidRDefault="00387E7C" w:rsidP="000301CD">
      <w:pPr>
        <w:pStyle w:val="a3"/>
        <w:spacing w:before="0" w:beforeAutospacing="0" w:after="0" w:afterAutospacing="0"/>
        <w:rPr>
          <w:rFonts w:ascii="Arial" w:hAnsi="Arial" w:cs="Arial"/>
          <w:color w:val="000000"/>
          <w:lang w:val="bg-BG"/>
        </w:rPr>
      </w:pPr>
      <w:r>
        <w:rPr>
          <w:rFonts w:ascii="Arial" w:hAnsi="Arial" w:cs="Arial"/>
          <w:color w:val="000000"/>
          <w:lang w:val="bg-BG"/>
        </w:rPr>
        <w:t>Уплътнителите могат да се използват за тръби с различни материали.</w:t>
      </w:r>
    </w:p>
    <w:p w:rsidR="00387E7C" w:rsidRDefault="00387E7C" w:rsidP="000301CD">
      <w:pPr>
        <w:pStyle w:val="a3"/>
        <w:spacing w:before="0" w:beforeAutospacing="0" w:after="0" w:afterAutospacing="0"/>
        <w:rPr>
          <w:rFonts w:ascii="Arial" w:hAnsi="Arial" w:cs="Arial"/>
          <w:color w:val="000000"/>
          <w:lang w:val="bg-BG"/>
        </w:rPr>
      </w:pPr>
      <w:r>
        <w:rPr>
          <w:rFonts w:ascii="Arial" w:hAnsi="Arial" w:cs="Arial"/>
          <w:color w:val="000000"/>
          <w:lang w:val="bg-BG"/>
        </w:rPr>
        <w:t>Уплътненията не могат да се използват,</w:t>
      </w:r>
      <w:r w:rsidR="00284A85">
        <w:rPr>
          <w:rFonts w:ascii="Arial" w:hAnsi="Arial" w:cs="Arial"/>
          <w:color w:val="000000"/>
          <w:lang w:val="bg-BG"/>
        </w:rPr>
        <w:t xml:space="preserve"> </w:t>
      </w:r>
      <w:r>
        <w:rPr>
          <w:rFonts w:ascii="Arial" w:hAnsi="Arial" w:cs="Arial"/>
          <w:color w:val="000000"/>
          <w:lang w:val="bg-BG"/>
        </w:rPr>
        <w:t>където разстоянието между тръбите е по-голяма от 2 цола.</w:t>
      </w:r>
    </w:p>
    <w:p w:rsidR="00447CA1" w:rsidRPr="00226BB8" w:rsidRDefault="00F35173" w:rsidP="00447CA1">
      <w:pPr>
        <w:pStyle w:val="a3"/>
        <w:spacing w:before="168" w:beforeAutospacing="0" w:after="216" w:afterAutospacing="0"/>
        <w:rPr>
          <w:rFonts w:ascii="Arial" w:hAnsi="Arial" w:cs="Arial"/>
          <w:color w:val="000000"/>
        </w:rPr>
      </w:pPr>
      <w:r w:rsidRPr="00226BB8">
        <w:rPr>
          <w:rFonts w:ascii="Arial" w:hAnsi="Arial" w:cs="Arial"/>
          <w:noProof/>
          <w:color w:val="000000"/>
          <w:lang w:val="bg-BG" w:eastAsia="bg-BG"/>
        </w:rPr>
        <w:drawing>
          <wp:inline distT="0" distB="0" distL="0" distR="0">
            <wp:extent cx="2886710" cy="2306320"/>
            <wp:effectExtent l="0" t="0" r="0" b="0"/>
            <wp:docPr id="1" name="Картина 1" descr="AMEX-10/WEKO-SEAL Internal Joint Sealing System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EX-10/WEKO-SEAL Internal Joint Sealing System examp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86710" cy="2306320"/>
                    </a:xfrm>
                    <a:prstGeom prst="rect">
                      <a:avLst/>
                    </a:prstGeom>
                    <a:noFill/>
                    <a:ln>
                      <a:noFill/>
                    </a:ln>
                  </pic:spPr>
                </pic:pic>
              </a:graphicData>
            </a:graphic>
          </wp:inline>
        </w:drawing>
      </w:r>
      <w:r w:rsidRPr="00226BB8">
        <w:rPr>
          <w:rFonts w:ascii="Arial" w:hAnsi="Arial" w:cs="Arial"/>
          <w:noProof/>
          <w:color w:val="000000"/>
          <w:lang w:val="bg-BG" w:eastAsia="bg-BG"/>
        </w:rPr>
        <w:drawing>
          <wp:inline distT="0" distB="0" distL="0" distR="0">
            <wp:extent cx="2920365" cy="2286000"/>
            <wp:effectExtent l="0" t="0" r="0" b="0"/>
            <wp:docPr id="2" name="Картина 2" descr="CMPJointSeal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MPJointSeal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20365" cy="2286000"/>
                    </a:xfrm>
                    <a:prstGeom prst="rect">
                      <a:avLst/>
                    </a:prstGeom>
                    <a:noFill/>
                    <a:ln>
                      <a:noFill/>
                    </a:ln>
                  </pic:spPr>
                </pic:pic>
              </a:graphicData>
            </a:graphic>
          </wp:inline>
        </w:drawing>
      </w:r>
    </w:p>
    <w:p w:rsidR="00447CA1" w:rsidRPr="00226BB8" w:rsidRDefault="00F35173" w:rsidP="00447CA1">
      <w:pPr>
        <w:pStyle w:val="a3"/>
        <w:spacing w:before="168" w:beforeAutospacing="0" w:after="216" w:afterAutospacing="0"/>
        <w:rPr>
          <w:rFonts w:ascii="Arial" w:hAnsi="Arial" w:cs="Arial"/>
          <w:color w:val="000000"/>
        </w:rPr>
      </w:pPr>
      <w:r w:rsidRPr="00226BB8">
        <w:rPr>
          <w:rFonts w:ascii="Arial" w:hAnsi="Arial" w:cs="Arial"/>
          <w:noProof/>
          <w:color w:val="000000"/>
          <w:lang w:val="bg-BG" w:eastAsia="bg-BG"/>
        </w:rPr>
        <w:drawing>
          <wp:inline distT="0" distB="0" distL="0" distR="0">
            <wp:extent cx="2524760" cy="1692275"/>
            <wp:effectExtent l="0" t="0" r="0" b="0"/>
            <wp:docPr id="3" name="Картина 3" descr="AMEX-10/WEKO-SEAL Internal Joint Sealing System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MEX-10/WEKO-SEAL Internal Joint Sealing System examp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24760" cy="1692275"/>
                    </a:xfrm>
                    <a:prstGeom prst="rect">
                      <a:avLst/>
                    </a:prstGeom>
                    <a:noFill/>
                    <a:ln>
                      <a:noFill/>
                    </a:ln>
                  </pic:spPr>
                </pic:pic>
              </a:graphicData>
            </a:graphic>
          </wp:inline>
        </w:drawing>
      </w:r>
      <w:r w:rsidR="00447CA1" w:rsidRPr="00226BB8">
        <w:rPr>
          <w:rStyle w:val="apple-converted-space"/>
          <w:rFonts w:ascii="Arial" w:hAnsi="Arial" w:cs="Arial"/>
          <w:color w:val="000000"/>
        </w:rPr>
        <w:t> </w:t>
      </w:r>
      <w:r w:rsidRPr="00226BB8">
        <w:rPr>
          <w:rFonts w:ascii="Arial" w:hAnsi="Arial" w:cs="Arial"/>
          <w:noProof/>
          <w:color w:val="000000"/>
          <w:lang w:val="bg-BG" w:eastAsia="bg-BG"/>
        </w:rPr>
        <w:drawing>
          <wp:inline distT="0" distB="0" distL="0" distR="0">
            <wp:extent cx="3248025" cy="1808480"/>
            <wp:effectExtent l="0" t="0" r="0" b="0"/>
            <wp:docPr id="4" name="Картина 4" descr="CMPJoint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MPJointSeal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8025" cy="1808480"/>
                    </a:xfrm>
                    <a:prstGeom prst="rect">
                      <a:avLst/>
                    </a:prstGeom>
                    <a:noFill/>
                    <a:ln>
                      <a:noFill/>
                    </a:ln>
                  </pic:spPr>
                </pic:pic>
              </a:graphicData>
            </a:graphic>
          </wp:inline>
        </w:drawing>
      </w:r>
    </w:p>
    <w:p w:rsidR="00226BB8" w:rsidRPr="009B2AB4" w:rsidRDefault="00226BB8" w:rsidP="00226BB8">
      <w:pPr>
        <w:pStyle w:val="3"/>
        <w:shd w:val="clear" w:color="auto" w:fill="FFFFFF"/>
        <w:spacing w:before="0" w:beforeAutospacing="0" w:after="70" w:afterAutospacing="0"/>
        <w:rPr>
          <w:rFonts w:ascii="Arial" w:hAnsi="Arial" w:cs="Arial"/>
          <w:color w:val="426669"/>
          <w:sz w:val="24"/>
          <w:szCs w:val="24"/>
          <w:lang w:val="bg-BG"/>
        </w:rPr>
      </w:pPr>
      <w:r w:rsidRPr="00226BB8">
        <w:rPr>
          <w:rFonts w:ascii="Arial" w:hAnsi="Arial" w:cs="Arial"/>
          <w:color w:val="426669"/>
          <w:sz w:val="24"/>
          <w:szCs w:val="24"/>
        </w:rPr>
        <w:t>Source One Environmental Company Profile</w:t>
      </w:r>
      <w:r w:rsidR="009B2AB4">
        <w:rPr>
          <w:rFonts w:ascii="Arial" w:hAnsi="Arial" w:cs="Arial"/>
          <w:color w:val="426669"/>
          <w:sz w:val="24"/>
          <w:szCs w:val="24"/>
          <w:lang w:val="bg-BG"/>
        </w:rPr>
        <w:t xml:space="preserve"> - фирма от Англия</w:t>
      </w:r>
    </w:p>
    <w:p w:rsidR="00A85B98" w:rsidRDefault="00A85B98" w:rsidP="00A85B98">
      <w:pPr>
        <w:pStyle w:val="2"/>
        <w:shd w:val="clear" w:color="auto" w:fill="6F989C"/>
        <w:spacing w:before="0" w:after="0"/>
        <w:rPr>
          <w:rFonts w:ascii="Tahoma" w:hAnsi="Tahoma" w:cs="Tahoma"/>
          <w:color w:val="FFFFFF"/>
          <w:sz w:val="24"/>
          <w:szCs w:val="24"/>
        </w:rPr>
      </w:pPr>
      <w:r>
        <w:rPr>
          <w:rFonts w:ascii="Tahoma" w:hAnsi="Tahoma" w:cs="Tahoma"/>
          <w:color w:val="FFFFFF"/>
          <w:sz w:val="24"/>
          <w:szCs w:val="24"/>
        </w:rPr>
        <w:t>Address</w:t>
      </w:r>
    </w:p>
    <w:p w:rsidR="00A85B98" w:rsidRPr="00A85B98" w:rsidRDefault="00A85B98" w:rsidP="00A85B98">
      <w:pPr>
        <w:pStyle w:val="a3"/>
        <w:shd w:val="clear" w:color="auto" w:fill="6F989C"/>
        <w:spacing w:before="0" w:beforeAutospacing="0" w:after="0" w:afterAutospacing="0" w:line="276" w:lineRule="atLeast"/>
        <w:rPr>
          <w:rFonts w:ascii="Tahoma" w:hAnsi="Tahoma" w:cs="Tahoma"/>
          <w:color w:val="FFFFFF"/>
          <w:sz w:val="20"/>
          <w:szCs w:val="20"/>
        </w:rPr>
      </w:pPr>
      <w:r w:rsidRPr="00A85B98">
        <w:rPr>
          <w:rFonts w:ascii="Tahoma" w:hAnsi="Tahoma" w:cs="Tahoma"/>
          <w:color w:val="FFFFFF"/>
          <w:sz w:val="20"/>
          <w:szCs w:val="20"/>
        </w:rPr>
        <w:t>Endeavour Works</w:t>
      </w:r>
      <w:r w:rsidRPr="00A85B98">
        <w:rPr>
          <w:rFonts w:ascii="Tahoma" w:hAnsi="Tahoma" w:cs="Tahoma"/>
          <w:color w:val="FFFFFF"/>
          <w:sz w:val="20"/>
          <w:szCs w:val="20"/>
        </w:rPr>
        <w:br/>
        <w:t>Newlands Way, Valley Park</w:t>
      </w:r>
      <w:r w:rsidRPr="00A85B98">
        <w:rPr>
          <w:rFonts w:ascii="Tahoma" w:hAnsi="Tahoma" w:cs="Tahoma"/>
          <w:color w:val="FFFFFF"/>
          <w:sz w:val="20"/>
          <w:szCs w:val="20"/>
        </w:rPr>
        <w:br/>
        <w:t>Wombwell</w:t>
      </w:r>
      <w:r w:rsidRPr="00A85B98">
        <w:rPr>
          <w:rFonts w:ascii="Tahoma" w:hAnsi="Tahoma" w:cs="Tahoma"/>
          <w:color w:val="FFFFFF"/>
          <w:sz w:val="20"/>
          <w:szCs w:val="20"/>
        </w:rPr>
        <w:br/>
        <w:t>Barnsley</w:t>
      </w:r>
      <w:r w:rsidRPr="00A85B98">
        <w:rPr>
          <w:rFonts w:ascii="Tahoma" w:hAnsi="Tahoma" w:cs="Tahoma"/>
          <w:color w:val="FFFFFF"/>
          <w:sz w:val="20"/>
          <w:szCs w:val="20"/>
        </w:rPr>
        <w:br/>
      </w:r>
      <w:r w:rsidRPr="00A85B98">
        <w:rPr>
          <w:rFonts w:ascii="Tahoma" w:hAnsi="Tahoma" w:cs="Tahoma"/>
          <w:color w:val="FFFFFF"/>
          <w:sz w:val="20"/>
          <w:szCs w:val="20"/>
        </w:rPr>
        <w:lastRenderedPageBreak/>
        <w:t>South Yorkshire</w:t>
      </w:r>
      <w:r w:rsidRPr="00A85B98">
        <w:rPr>
          <w:rFonts w:ascii="Tahoma" w:hAnsi="Tahoma" w:cs="Tahoma"/>
          <w:color w:val="FFFFFF"/>
          <w:sz w:val="20"/>
          <w:szCs w:val="20"/>
        </w:rPr>
        <w:br/>
      </w:r>
    </w:p>
    <w:p w:rsidR="00226BB8" w:rsidRPr="00226BB8" w:rsidRDefault="00226BB8" w:rsidP="00226BB8">
      <w:pPr>
        <w:pStyle w:val="3"/>
        <w:shd w:val="clear" w:color="auto" w:fill="FFFFFF"/>
        <w:spacing w:before="0" w:beforeAutospacing="0" w:after="70" w:afterAutospacing="0"/>
        <w:rPr>
          <w:rFonts w:ascii="Arial" w:hAnsi="Arial" w:cs="Arial"/>
          <w:color w:val="426669"/>
          <w:sz w:val="24"/>
          <w:szCs w:val="24"/>
        </w:rPr>
      </w:pPr>
      <w:r w:rsidRPr="00226BB8">
        <w:rPr>
          <w:rFonts w:ascii="Arial" w:hAnsi="Arial" w:cs="Arial"/>
          <w:color w:val="426669"/>
          <w:sz w:val="24"/>
          <w:szCs w:val="24"/>
        </w:rPr>
        <w:t>K-Prema - No-Dig Internal Pipe Seal</w:t>
      </w:r>
    </w:p>
    <w:p w:rsidR="00A85B98" w:rsidRPr="009E3C6D" w:rsidRDefault="00226BB8" w:rsidP="00AE793C">
      <w:pPr>
        <w:pStyle w:val="a3"/>
        <w:shd w:val="clear" w:color="auto" w:fill="FFFFFF"/>
        <w:spacing w:before="0" w:beforeAutospacing="0" w:after="130" w:afterAutospacing="0" w:line="288" w:lineRule="atLeast"/>
        <w:rPr>
          <w:b/>
          <w:color w:val="A39D87"/>
          <w:spacing w:val="2"/>
          <w:sz w:val="28"/>
          <w:szCs w:val="28"/>
        </w:rPr>
      </w:pPr>
      <w:r w:rsidRPr="00A85B98">
        <w:t xml:space="preserve">K-Prema </w:t>
      </w:r>
      <w:r w:rsidR="00AE793C">
        <w:rPr>
          <w:lang w:val="bg-BG"/>
        </w:rPr>
        <w:t xml:space="preserve"> е система за вътрешно изолиране на връзките на водопровод от</w:t>
      </w:r>
      <w:r w:rsidRPr="00A85B98">
        <w:t xml:space="preserve"> 500 </w:t>
      </w:r>
      <w:r w:rsidR="00AE793C">
        <w:rPr>
          <w:lang w:val="bg-BG"/>
        </w:rPr>
        <w:t>до</w:t>
      </w:r>
      <w:r w:rsidRPr="00A85B98">
        <w:t xml:space="preserve"> 4000</w:t>
      </w:r>
      <w:r w:rsidR="00FD7726">
        <w:rPr>
          <w:lang w:val="bg-BG"/>
        </w:rPr>
        <w:t xml:space="preserve"> </w:t>
      </w:r>
      <w:r w:rsidRPr="00A85B98">
        <w:t>mm</w:t>
      </w:r>
      <w:r w:rsidR="00AE793C">
        <w:rPr>
          <w:lang w:val="bg-BG"/>
        </w:rPr>
        <w:t xml:space="preserve"> за бетонни;</w:t>
      </w:r>
      <w:r w:rsidR="00284A85">
        <w:rPr>
          <w:lang w:val="bg-BG"/>
        </w:rPr>
        <w:t xml:space="preserve"> </w:t>
      </w:r>
      <w:r w:rsidR="00AE793C">
        <w:rPr>
          <w:lang w:val="bg-BG"/>
        </w:rPr>
        <w:t>стоманени;</w:t>
      </w:r>
      <w:r w:rsidR="00284A85">
        <w:rPr>
          <w:lang w:val="bg-BG"/>
        </w:rPr>
        <w:t xml:space="preserve"> </w:t>
      </w:r>
      <w:r w:rsidR="00AE793C">
        <w:rPr>
          <w:lang w:val="bg-BG"/>
        </w:rPr>
        <w:t>чугунени;</w:t>
      </w:r>
      <w:r w:rsidR="00284A85">
        <w:rPr>
          <w:lang w:val="bg-BG"/>
        </w:rPr>
        <w:t xml:space="preserve"> </w:t>
      </w:r>
      <w:r w:rsidR="00AE793C">
        <w:rPr>
          <w:lang w:val="bg-BG"/>
        </w:rPr>
        <w:t>полиетиленови и стъклопластови тръби</w:t>
      </w:r>
      <w:r w:rsidRPr="00A85B98">
        <w:t>.</w:t>
      </w:r>
      <w:r w:rsidR="00284A85">
        <w:rPr>
          <w:lang w:val="bg-BG"/>
        </w:rPr>
        <w:t xml:space="preserve"> </w:t>
      </w:r>
      <w:r w:rsidR="00AE793C">
        <w:rPr>
          <w:lang w:val="bg-BG"/>
        </w:rPr>
        <w:t xml:space="preserve">Уплътненията са устойчиви на вътрешно налягане до 20 атм. </w:t>
      </w:r>
      <w:r w:rsidR="00FD7726">
        <w:rPr>
          <w:lang w:val="bg-BG"/>
        </w:rPr>
        <w:t>и</w:t>
      </w:r>
      <w:r w:rsidR="00AE793C">
        <w:rPr>
          <w:lang w:val="bg-BG"/>
        </w:rPr>
        <w:t xml:space="preserve"> външно налягане от 0.5 – 1 атм.</w:t>
      </w:r>
      <w:r w:rsidRPr="00A85B98">
        <w:br/>
      </w:r>
      <w:r w:rsidR="009E3C6D" w:rsidRPr="009E3C6D">
        <w:rPr>
          <w:b/>
          <w:color w:val="A39D87"/>
          <w:spacing w:val="2"/>
          <w:sz w:val="28"/>
          <w:szCs w:val="28"/>
        </w:rPr>
        <w:t>CRETEX</w:t>
      </w:r>
      <w:r w:rsidR="009E3C6D">
        <w:rPr>
          <w:b/>
          <w:color w:val="A39D87"/>
          <w:spacing w:val="2"/>
          <w:sz w:val="28"/>
          <w:szCs w:val="28"/>
        </w:rPr>
        <w:t xml:space="preserve"> </w:t>
      </w:r>
      <w:r w:rsidR="00C95008">
        <w:rPr>
          <w:b/>
          <w:color w:val="A39D87"/>
          <w:spacing w:val="2"/>
          <w:sz w:val="28"/>
          <w:szCs w:val="28"/>
        </w:rPr>
        <w:t xml:space="preserve">USA </w:t>
      </w:r>
    </w:p>
    <w:p w:rsidR="00A85B98" w:rsidRDefault="00F35173" w:rsidP="00A85B98">
      <w:pPr>
        <w:rPr>
          <w:rFonts w:ascii="Arial" w:hAnsi="Arial" w:cs="Arial"/>
          <w:color w:val="FFFFFF"/>
          <w:sz w:val="12"/>
          <w:szCs w:val="12"/>
        </w:rPr>
      </w:pPr>
      <w:r>
        <w:rPr>
          <w:rFonts w:ascii="Arial" w:hAnsi="Arial" w:cs="Arial"/>
          <w:noProof/>
          <w:color w:val="FFFFFF"/>
          <w:sz w:val="12"/>
          <w:szCs w:val="12"/>
          <w:lang w:val="bg-BG" w:eastAsia="bg-BG"/>
        </w:rPr>
        <w:drawing>
          <wp:inline distT="0" distB="0" distL="0" distR="0">
            <wp:extent cx="2306320" cy="2094865"/>
            <wp:effectExtent l="0" t="0" r="0" b="0"/>
            <wp:docPr id="5" name="Картина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6320" cy="2094865"/>
                    </a:xfrm>
                    <a:prstGeom prst="rect">
                      <a:avLst/>
                    </a:prstGeom>
                    <a:noFill/>
                    <a:ln>
                      <a:noFill/>
                    </a:ln>
                  </pic:spPr>
                </pic:pic>
              </a:graphicData>
            </a:graphic>
          </wp:inline>
        </w:drawing>
      </w:r>
      <w:r>
        <w:rPr>
          <w:rFonts w:ascii="Arial" w:hAnsi="Arial" w:cs="Arial"/>
          <w:noProof/>
          <w:color w:val="FFFFFF"/>
          <w:sz w:val="12"/>
          <w:szCs w:val="12"/>
          <w:lang w:val="bg-BG" w:eastAsia="bg-BG"/>
        </w:rPr>
        <w:drawing>
          <wp:inline distT="0" distB="0" distL="0" distR="0">
            <wp:extent cx="2306320" cy="2094865"/>
            <wp:effectExtent l="0" t="0" r="0" b="0"/>
            <wp:docPr id="6" name="Картина 6"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6320" cy="2094865"/>
                    </a:xfrm>
                    <a:prstGeom prst="rect">
                      <a:avLst/>
                    </a:prstGeom>
                    <a:noFill/>
                    <a:ln>
                      <a:noFill/>
                    </a:ln>
                  </pic:spPr>
                </pic:pic>
              </a:graphicData>
            </a:graphic>
          </wp:inline>
        </w:drawing>
      </w:r>
      <w:r>
        <w:rPr>
          <w:rFonts w:ascii="Arial" w:hAnsi="Arial" w:cs="Arial"/>
          <w:noProof/>
          <w:color w:val="FFFFFF"/>
          <w:sz w:val="12"/>
          <w:szCs w:val="12"/>
          <w:lang w:val="bg-BG" w:eastAsia="bg-BG"/>
        </w:rPr>
        <w:drawing>
          <wp:inline distT="0" distB="0" distL="0" distR="0">
            <wp:extent cx="2306320" cy="2094865"/>
            <wp:effectExtent l="0" t="0" r="0" b="0"/>
            <wp:docPr id="7" name="Картина 7"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06320" cy="2094865"/>
                    </a:xfrm>
                    <a:prstGeom prst="rect">
                      <a:avLst/>
                    </a:prstGeom>
                    <a:noFill/>
                    <a:ln>
                      <a:noFill/>
                    </a:ln>
                  </pic:spPr>
                </pic:pic>
              </a:graphicData>
            </a:graphic>
          </wp:inline>
        </w:drawing>
      </w:r>
      <w:r>
        <w:rPr>
          <w:rFonts w:ascii="Arial" w:hAnsi="Arial" w:cs="Arial"/>
          <w:noProof/>
          <w:color w:val="FFFFFF"/>
          <w:sz w:val="12"/>
          <w:szCs w:val="12"/>
          <w:lang w:val="bg-BG" w:eastAsia="bg-BG"/>
        </w:rPr>
        <w:drawing>
          <wp:inline distT="0" distB="0" distL="0" distR="0">
            <wp:extent cx="2306320" cy="2094865"/>
            <wp:effectExtent l="0" t="0" r="0" b="0"/>
            <wp:docPr id="8" name="Картина 8"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06320" cy="2094865"/>
                    </a:xfrm>
                    <a:prstGeom prst="rect">
                      <a:avLst/>
                    </a:prstGeom>
                    <a:noFill/>
                    <a:ln>
                      <a:noFill/>
                    </a:ln>
                  </pic:spPr>
                </pic:pic>
              </a:graphicData>
            </a:graphic>
          </wp:inline>
        </w:drawing>
      </w:r>
    </w:p>
    <w:p w:rsidR="00A85B98" w:rsidRDefault="00A85B98" w:rsidP="00A85B98">
      <w:pPr>
        <w:numPr>
          <w:ilvl w:val="0"/>
          <w:numId w:val="3"/>
        </w:numPr>
        <w:ind w:left="0"/>
        <w:rPr>
          <w:rFonts w:ascii="Arial" w:hAnsi="Arial" w:cs="Arial"/>
          <w:color w:val="FFFFFF"/>
          <w:sz w:val="12"/>
          <w:szCs w:val="12"/>
        </w:rPr>
      </w:pPr>
      <w:r>
        <w:rPr>
          <w:rStyle w:val="a5"/>
          <w:rFonts w:ascii="Arial" w:hAnsi="Arial" w:cs="Arial"/>
          <w:color w:val="FFFFFF"/>
          <w:sz w:val="12"/>
          <w:szCs w:val="12"/>
        </w:rPr>
        <w:t>The HydraTite Internal Joint Seal</w:t>
      </w:r>
      <w:r>
        <w:rPr>
          <w:rStyle w:val="apple-converted-space"/>
          <w:rFonts w:ascii="Arial" w:hAnsi="Arial" w:cs="Arial"/>
          <w:color w:val="FFFFFF"/>
          <w:sz w:val="12"/>
          <w:szCs w:val="12"/>
        </w:rPr>
        <w:t> </w:t>
      </w:r>
      <w:r>
        <w:rPr>
          <w:rFonts w:ascii="Arial" w:hAnsi="Arial" w:cs="Arial"/>
          <w:color w:val="FFFFFF"/>
          <w:sz w:val="12"/>
          <w:szCs w:val="12"/>
        </w:rPr>
        <w:t>is a mechanical, trenchless remediation for repair of pipe joints. The HydraTite system consists of a proprietary rubber seal which spans the joint and is held in place by stainless steel retaining bands on either side of the joint. These retaining bands are hydraulically expanded and locked in place using aettling, and thermal expansion/contraction.</w:t>
      </w:r>
    </w:p>
    <w:p w:rsidR="008E461C" w:rsidRDefault="00F35173">
      <w:r>
        <w:rPr>
          <w:noProof/>
          <w:lang w:val="bg-BG" w:eastAsia="bg-BG"/>
        </w:rPr>
        <w:drawing>
          <wp:inline distT="0" distB="0" distL="0" distR="0">
            <wp:extent cx="3316605" cy="2435860"/>
            <wp:effectExtent l="0" t="0" r="0" b="0"/>
            <wp:docPr id="9" name="Картина 9" descr="flg_ex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lg_exp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16605" cy="2435860"/>
                    </a:xfrm>
                    <a:prstGeom prst="rect">
                      <a:avLst/>
                    </a:prstGeom>
                    <a:noFill/>
                    <a:ln>
                      <a:noFill/>
                    </a:ln>
                  </pic:spPr>
                </pic:pic>
              </a:graphicData>
            </a:graphic>
          </wp:inline>
        </w:drawing>
      </w:r>
      <w:r>
        <w:rPr>
          <w:noProof/>
          <w:lang w:val="bg-BG" w:eastAsia="bg-BG"/>
        </w:rPr>
        <w:drawing>
          <wp:inline distT="0" distB="0" distL="0" distR="0">
            <wp:extent cx="2859405" cy="2408555"/>
            <wp:effectExtent l="0" t="0" r="0" b="0"/>
            <wp:docPr id="10" name="Картина 10" descr="HydraTit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ydraTite-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9405" cy="2408555"/>
                    </a:xfrm>
                    <a:prstGeom prst="rect">
                      <a:avLst/>
                    </a:prstGeom>
                    <a:noFill/>
                    <a:ln>
                      <a:noFill/>
                    </a:ln>
                  </pic:spPr>
                </pic:pic>
              </a:graphicData>
            </a:graphic>
          </wp:inline>
        </w:drawing>
      </w:r>
    </w:p>
    <w:p w:rsidR="00577446" w:rsidRDefault="00577446"/>
    <w:p w:rsidR="009A6546" w:rsidRPr="009B2AB4" w:rsidRDefault="009A6546" w:rsidP="009A6546">
      <w:pPr>
        <w:rPr>
          <w:lang w:val="bg-BG"/>
        </w:rPr>
      </w:pPr>
    </w:p>
    <w:p w:rsidR="00F77058" w:rsidRDefault="00F77058" w:rsidP="009A6546">
      <w:pPr>
        <w:rPr>
          <w:lang w:val="bg-BG"/>
        </w:rPr>
      </w:pPr>
    </w:p>
    <w:p w:rsidR="009A6546" w:rsidRDefault="009A6546" w:rsidP="009A6546">
      <w:pPr>
        <w:rPr>
          <w:lang w:val="bg-BG"/>
        </w:rPr>
      </w:pPr>
      <w:r>
        <w:t>HydraTite</w:t>
      </w:r>
      <w:r w:rsidRPr="009B2AB4">
        <w:rPr>
          <w:lang w:val="bg-BG"/>
        </w:rPr>
        <w:t xml:space="preserve">® </w:t>
      </w:r>
      <w:r w:rsidR="009B2AB4">
        <w:rPr>
          <w:lang w:val="bg-BG"/>
        </w:rPr>
        <w:t>уплътнения</w:t>
      </w:r>
      <w:r w:rsidRPr="009B2AB4">
        <w:rPr>
          <w:lang w:val="bg-BG"/>
        </w:rPr>
        <w:t xml:space="preserve"> </w:t>
      </w:r>
      <w:r w:rsidR="009B2AB4">
        <w:rPr>
          <w:lang w:val="bg-BG"/>
        </w:rPr>
        <w:t>позволява ремонт на връзките на ниска цена - под 50 % спрямо цената с разкопаване и скъсени срокове за изпълнение.</w:t>
      </w:r>
    </w:p>
    <w:p w:rsidR="00FD7726" w:rsidRDefault="009B2AB4" w:rsidP="009A6546">
      <w:pPr>
        <w:rPr>
          <w:lang w:val="bg-BG"/>
        </w:rPr>
      </w:pPr>
      <w:r>
        <w:rPr>
          <w:lang w:val="bg-BG"/>
        </w:rPr>
        <w:t>Сертифицирани са за питейна вода;</w:t>
      </w:r>
      <w:r w:rsidR="00284A85">
        <w:rPr>
          <w:lang w:val="bg-BG"/>
        </w:rPr>
        <w:t xml:space="preserve"> </w:t>
      </w:r>
      <w:r>
        <w:rPr>
          <w:lang w:val="bg-BG"/>
        </w:rPr>
        <w:t xml:space="preserve">одобрени от </w:t>
      </w:r>
      <w:r>
        <w:t>AWWA</w:t>
      </w:r>
      <w:r>
        <w:rPr>
          <w:lang w:val="bg-BG"/>
        </w:rPr>
        <w:t xml:space="preserve"> – международната асоциация по водите;</w:t>
      </w:r>
      <w:r w:rsidR="00284A85">
        <w:rPr>
          <w:lang w:val="bg-BG"/>
        </w:rPr>
        <w:t xml:space="preserve"> </w:t>
      </w:r>
      <w:r>
        <w:rPr>
          <w:lang w:val="bg-BG"/>
        </w:rPr>
        <w:t>нисък профил и малки загуби на налягане;</w:t>
      </w:r>
      <w:r w:rsidR="00284A85">
        <w:rPr>
          <w:lang w:val="bg-BG"/>
        </w:rPr>
        <w:t xml:space="preserve"> </w:t>
      </w:r>
      <w:r>
        <w:rPr>
          <w:lang w:val="bg-BG"/>
        </w:rPr>
        <w:t>устойчиви на вибрации;</w:t>
      </w:r>
      <w:r w:rsidR="00284A85">
        <w:rPr>
          <w:lang w:val="bg-BG"/>
        </w:rPr>
        <w:t xml:space="preserve"> </w:t>
      </w:r>
      <w:r>
        <w:rPr>
          <w:lang w:val="bg-BG"/>
        </w:rPr>
        <w:t>измествания и др. въздействия.</w:t>
      </w:r>
    </w:p>
    <w:p w:rsidR="009B2AB4" w:rsidRDefault="009B2AB4" w:rsidP="009A6546">
      <w:pPr>
        <w:rPr>
          <w:lang w:val="bg-BG"/>
        </w:rPr>
      </w:pPr>
      <w:r>
        <w:rPr>
          <w:lang w:val="bg-BG"/>
        </w:rPr>
        <w:t>Позволяват уплътняване на малки пукнатини в тръбите.</w:t>
      </w:r>
      <w:r w:rsidR="00284A85">
        <w:rPr>
          <w:lang w:val="bg-BG"/>
        </w:rPr>
        <w:t xml:space="preserve"> </w:t>
      </w:r>
      <w:r>
        <w:rPr>
          <w:lang w:val="bg-BG"/>
        </w:rPr>
        <w:t>Полезен живот – над 50 години.</w:t>
      </w:r>
    </w:p>
    <w:p w:rsidR="0039083C" w:rsidRDefault="0039083C" w:rsidP="009A6546">
      <w:pPr>
        <w:rPr>
          <w:lang w:val="bg-BG"/>
        </w:rPr>
      </w:pPr>
    </w:p>
    <w:p w:rsidR="009B2AB4" w:rsidRPr="0039083C" w:rsidRDefault="00626000" w:rsidP="009A6546">
      <w:pPr>
        <w:rPr>
          <w:b/>
          <w:lang w:val="bg-BG"/>
        </w:rPr>
      </w:pPr>
      <w:r w:rsidRPr="0039083C">
        <w:rPr>
          <w:b/>
          <w:lang w:val="bg-BG"/>
        </w:rPr>
        <w:t>Данни, които</w:t>
      </w:r>
      <w:r w:rsidR="0039083C" w:rsidRPr="0039083C">
        <w:rPr>
          <w:b/>
          <w:lang w:val="bg-BG"/>
        </w:rPr>
        <w:t xml:space="preserve"> трябва да се представят при заявка на уплътнителите:</w:t>
      </w:r>
    </w:p>
    <w:p w:rsidR="0039083C" w:rsidRDefault="0039083C" w:rsidP="0039083C">
      <w:pPr>
        <w:numPr>
          <w:ilvl w:val="0"/>
          <w:numId w:val="6"/>
        </w:numPr>
        <w:rPr>
          <w:lang w:val="bg-BG"/>
        </w:rPr>
      </w:pPr>
      <w:r>
        <w:rPr>
          <w:lang w:val="bg-BG"/>
        </w:rPr>
        <w:t>Работен флуид;</w:t>
      </w:r>
    </w:p>
    <w:p w:rsidR="0039083C" w:rsidRDefault="0039083C" w:rsidP="0039083C">
      <w:pPr>
        <w:numPr>
          <w:ilvl w:val="0"/>
          <w:numId w:val="6"/>
        </w:numPr>
        <w:rPr>
          <w:lang w:val="bg-BG"/>
        </w:rPr>
      </w:pPr>
      <w:r>
        <w:rPr>
          <w:lang w:val="bg-BG"/>
        </w:rPr>
        <w:t>Материал</w:t>
      </w:r>
      <w:r w:rsidR="00FD7726">
        <w:rPr>
          <w:lang w:val="bg-BG"/>
        </w:rPr>
        <w:t xml:space="preserve">, </w:t>
      </w:r>
      <w:r>
        <w:rPr>
          <w:lang w:val="bg-BG"/>
        </w:rPr>
        <w:t>диаметър и дължина на тръбите;</w:t>
      </w:r>
    </w:p>
    <w:p w:rsidR="0039083C" w:rsidRDefault="0039083C" w:rsidP="0039083C">
      <w:pPr>
        <w:numPr>
          <w:ilvl w:val="0"/>
          <w:numId w:val="6"/>
        </w:numPr>
        <w:rPr>
          <w:lang w:val="bg-BG"/>
        </w:rPr>
      </w:pPr>
      <w:r>
        <w:rPr>
          <w:lang w:val="bg-BG"/>
        </w:rPr>
        <w:t>Година на полагане;</w:t>
      </w:r>
    </w:p>
    <w:p w:rsidR="0039083C" w:rsidRDefault="0039083C" w:rsidP="0039083C">
      <w:pPr>
        <w:numPr>
          <w:ilvl w:val="0"/>
          <w:numId w:val="6"/>
        </w:numPr>
        <w:rPr>
          <w:lang w:val="bg-BG"/>
        </w:rPr>
      </w:pPr>
      <w:r>
        <w:rPr>
          <w:lang w:val="bg-BG"/>
        </w:rPr>
        <w:t>Точен вътрешен диаметър;</w:t>
      </w:r>
    </w:p>
    <w:p w:rsidR="0039083C" w:rsidRDefault="0039083C" w:rsidP="0039083C">
      <w:pPr>
        <w:numPr>
          <w:ilvl w:val="0"/>
          <w:numId w:val="6"/>
        </w:numPr>
        <w:rPr>
          <w:lang w:val="bg-BG"/>
        </w:rPr>
      </w:pPr>
      <w:r>
        <w:rPr>
          <w:lang w:val="bg-BG"/>
        </w:rPr>
        <w:t>Максимално работно налягане;</w:t>
      </w:r>
      <w:r w:rsidR="00284A85">
        <w:rPr>
          <w:lang w:val="bg-BG"/>
        </w:rPr>
        <w:t xml:space="preserve"> </w:t>
      </w:r>
      <w:r>
        <w:rPr>
          <w:lang w:val="bg-BG"/>
        </w:rPr>
        <w:t>Максимално налягане отвън;</w:t>
      </w:r>
    </w:p>
    <w:p w:rsidR="0039083C" w:rsidRDefault="0039083C" w:rsidP="0039083C">
      <w:pPr>
        <w:numPr>
          <w:ilvl w:val="0"/>
          <w:numId w:val="6"/>
        </w:numPr>
        <w:rPr>
          <w:lang w:val="bg-BG"/>
        </w:rPr>
      </w:pPr>
      <w:r>
        <w:rPr>
          <w:lang w:val="bg-BG"/>
        </w:rPr>
        <w:t>Вид на връзките – при възможност да се представи чертеж в разрез с размери;</w:t>
      </w:r>
    </w:p>
    <w:p w:rsidR="0039083C" w:rsidRDefault="0039083C" w:rsidP="0039083C">
      <w:pPr>
        <w:numPr>
          <w:ilvl w:val="0"/>
          <w:numId w:val="6"/>
        </w:numPr>
        <w:rPr>
          <w:lang w:val="bg-BG"/>
        </w:rPr>
      </w:pPr>
      <w:r>
        <w:rPr>
          <w:lang w:val="bg-BG"/>
        </w:rPr>
        <w:t>Условия на работа и възможни натоварвания от земетресения;</w:t>
      </w:r>
      <w:r w:rsidR="00284A85">
        <w:rPr>
          <w:lang w:val="bg-BG"/>
        </w:rPr>
        <w:t xml:space="preserve"> </w:t>
      </w:r>
      <w:r>
        <w:rPr>
          <w:lang w:val="bg-BG"/>
        </w:rPr>
        <w:t>подпочвени води и др.</w:t>
      </w:r>
    </w:p>
    <w:p w:rsidR="001D3ADE" w:rsidRDefault="001D3ADE" w:rsidP="0039083C">
      <w:pPr>
        <w:numPr>
          <w:ilvl w:val="0"/>
          <w:numId w:val="6"/>
        </w:numPr>
        <w:rPr>
          <w:lang w:val="bg-BG"/>
        </w:rPr>
      </w:pPr>
      <w:r>
        <w:rPr>
          <w:lang w:val="bg-BG"/>
        </w:rPr>
        <w:t>Състояние на вод</w:t>
      </w:r>
      <w:r w:rsidR="00626000">
        <w:rPr>
          <w:lang w:val="bg-BG"/>
        </w:rPr>
        <w:t>о</w:t>
      </w:r>
      <w:r>
        <w:rPr>
          <w:lang w:val="bg-BG"/>
        </w:rPr>
        <w:t>провода – дебелина на стената;</w:t>
      </w:r>
      <w:r w:rsidR="00284A85">
        <w:rPr>
          <w:lang w:val="bg-BG"/>
        </w:rPr>
        <w:t xml:space="preserve"> </w:t>
      </w:r>
      <w:r>
        <w:rPr>
          <w:lang w:val="bg-BG"/>
        </w:rPr>
        <w:t>степен на корозия;</w:t>
      </w:r>
      <w:r w:rsidR="00284A85">
        <w:rPr>
          <w:lang w:val="bg-BG"/>
        </w:rPr>
        <w:t xml:space="preserve"> </w:t>
      </w:r>
      <w:r>
        <w:rPr>
          <w:lang w:val="bg-BG"/>
        </w:rPr>
        <w:t>износване;</w:t>
      </w:r>
      <w:r w:rsidR="00284A85">
        <w:rPr>
          <w:lang w:val="bg-BG"/>
        </w:rPr>
        <w:t xml:space="preserve"> </w:t>
      </w:r>
      <w:r>
        <w:rPr>
          <w:lang w:val="bg-BG"/>
        </w:rPr>
        <w:t>замърсяване и др.;</w:t>
      </w:r>
    </w:p>
    <w:p w:rsidR="001D3ADE" w:rsidRDefault="001D3ADE" w:rsidP="0039083C">
      <w:pPr>
        <w:numPr>
          <w:ilvl w:val="0"/>
          <w:numId w:val="6"/>
        </w:numPr>
        <w:rPr>
          <w:lang w:val="bg-BG"/>
        </w:rPr>
      </w:pPr>
      <w:r>
        <w:rPr>
          <w:lang w:val="bg-BG"/>
        </w:rPr>
        <w:t>Разстояние между точките за достъп;</w:t>
      </w:r>
      <w:bookmarkStart w:id="0" w:name="_GoBack"/>
      <w:bookmarkEnd w:id="0"/>
    </w:p>
    <w:p w:rsidR="001D3ADE" w:rsidRDefault="001D3ADE" w:rsidP="0039083C">
      <w:pPr>
        <w:numPr>
          <w:ilvl w:val="0"/>
          <w:numId w:val="6"/>
        </w:numPr>
        <w:rPr>
          <w:lang w:val="bg-BG"/>
        </w:rPr>
      </w:pPr>
      <w:r>
        <w:rPr>
          <w:lang w:val="bg-BG"/>
        </w:rPr>
        <w:t>Чертеж на водопровода;</w:t>
      </w:r>
    </w:p>
    <w:p w:rsidR="001D3ADE" w:rsidRDefault="001D3ADE" w:rsidP="0039083C">
      <w:pPr>
        <w:numPr>
          <w:ilvl w:val="0"/>
          <w:numId w:val="6"/>
        </w:numPr>
        <w:rPr>
          <w:lang w:val="bg-BG"/>
        </w:rPr>
      </w:pPr>
      <w:r>
        <w:rPr>
          <w:lang w:val="bg-BG"/>
        </w:rPr>
        <w:t xml:space="preserve">Допустим период за извеждане на водопровода в ремонт. </w:t>
      </w:r>
    </w:p>
    <w:p w:rsidR="001D3ADE" w:rsidRDefault="001D3ADE" w:rsidP="001D3ADE">
      <w:pPr>
        <w:ind w:left="360"/>
        <w:rPr>
          <w:lang w:val="bg-BG"/>
        </w:rPr>
      </w:pPr>
    </w:p>
    <w:p w:rsidR="009B2AB4" w:rsidRDefault="009B2AB4" w:rsidP="009A6546">
      <w:pPr>
        <w:rPr>
          <w:lang w:val="bg-BG"/>
        </w:rPr>
      </w:pPr>
    </w:p>
    <w:p w:rsidR="009B2AB4" w:rsidRPr="009B2AB4" w:rsidRDefault="009B2AB4" w:rsidP="009A6546">
      <w:pPr>
        <w:rPr>
          <w:lang w:val="bg-BG"/>
        </w:rPr>
      </w:pPr>
    </w:p>
    <w:p w:rsidR="00FE0C6A" w:rsidRPr="009B2AB4" w:rsidRDefault="00FE0C6A" w:rsidP="009A6546">
      <w:pPr>
        <w:rPr>
          <w:lang w:val="bg-BG"/>
        </w:rPr>
      </w:pPr>
    </w:p>
    <w:p w:rsidR="00C95008" w:rsidRPr="009B2AB4" w:rsidRDefault="00C95008" w:rsidP="00C95008">
      <w:pPr>
        <w:pStyle w:val="a3"/>
        <w:spacing w:before="168" w:beforeAutospacing="0" w:after="216" w:afterAutospacing="0"/>
        <w:rPr>
          <w:rFonts w:ascii="Arial" w:hAnsi="Arial" w:cs="Arial"/>
          <w:color w:val="000000"/>
          <w:lang w:val="bg-BG"/>
        </w:rPr>
      </w:pPr>
    </w:p>
    <w:p w:rsidR="00404832" w:rsidRPr="009B2AB4" w:rsidRDefault="00404832" w:rsidP="00404832">
      <w:pPr>
        <w:spacing w:line="120" w:lineRule="atLeast"/>
        <w:rPr>
          <w:rFonts w:ascii="Arial" w:hAnsi="Arial" w:cs="Arial"/>
          <w:b/>
          <w:color w:val="A39D87"/>
          <w:spacing w:val="2"/>
          <w:sz w:val="28"/>
          <w:szCs w:val="28"/>
          <w:lang w:val="bg-BG"/>
        </w:rPr>
      </w:pPr>
    </w:p>
    <w:p w:rsidR="00C95008" w:rsidRPr="009B2AB4" w:rsidRDefault="00C95008" w:rsidP="00C95008">
      <w:pPr>
        <w:pStyle w:val="a3"/>
        <w:spacing w:before="168" w:beforeAutospacing="0" w:after="216" w:afterAutospacing="0"/>
        <w:rPr>
          <w:rFonts w:ascii="Arial" w:hAnsi="Arial" w:cs="Arial"/>
          <w:color w:val="000000"/>
          <w:lang w:val="bg-BG"/>
        </w:rPr>
      </w:pPr>
    </w:p>
    <w:p w:rsidR="00FE0C6A" w:rsidRPr="009B2AB4" w:rsidRDefault="00FE0C6A" w:rsidP="009A6546">
      <w:pPr>
        <w:rPr>
          <w:lang w:val="bg-BG"/>
        </w:rPr>
      </w:pPr>
    </w:p>
    <w:sectPr w:rsidR="00FE0C6A" w:rsidRPr="009B2AB4" w:rsidSect="00F77058">
      <w:pgSz w:w="12240" w:h="15840"/>
      <w:pgMar w:top="680" w:right="1797" w:bottom="1440" w:left="45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5013B"/>
    <w:multiLevelType w:val="hybridMultilevel"/>
    <w:tmpl w:val="4E00C284"/>
    <w:lvl w:ilvl="0" w:tplc="DC16D376">
      <w:start w:val="1"/>
      <w:numFmt w:val="bullet"/>
      <w:lvlText w:val=""/>
      <w:lvlJc w:val="left"/>
      <w:pPr>
        <w:tabs>
          <w:tab w:val="num" w:pos="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C056C4"/>
    <w:multiLevelType w:val="hybridMultilevel"/>
    <w:tmpl w:val="D6B0A6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5F803C5"/>
    <w:multiLevelType w:val="multilevel"/>
    <w:tmpl w:val="9D30B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8578E6"/>
    <w:multiLevelType w:val="multilevel"/>
    <w:tmpl w:val="CAC21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2C3ED1"/>
    <w:multiLevelType w:val="multilevel"/>
    <w:tmpl w:val="2006E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1851A0"/>
    <w:multiLevelType w:val="hybridMultilevel"/>
    <w:tmpl w:val="A0BCF218"/>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CA1"/>
    <w:rsid w:val="000301CD"/>
    <w:rsid w:val="00057FF3"/>
    <w:rsid w:val="00072F3F"/>
    <w:rsid w:val="0008164E"/>
    <w:rsid w:val="000A75BF"/>
    <w:rsid w:val="000B7296"/>
    <w:rsid w:val="000C1ABE"/>
    <w:rsid w:val="000C2747"/>
    <w:rsid w:val="000D59D3"/>
    <w:rsid w:val="000D681F"/>
    <w:rsid w:val="000E01C7"/>
    <w:rsid w:val="001027C0"/>
    <w:rsid w:val="0010500E"/>
    <w:rsid w:val="00112F8D"/>
    <w:rsid w:val="0011535E"/>
    <w:rsid w:val="001303FA"/>
    <w:rsid w:val="00134ECA"/>
    <w:rsid w:val="00176521"/>
    <w:rsid w:val="0019393B"/>
    <w:rsid w:val="00197C1D"/>
    <w:rsid w:val="001D1788"/>
    <w:rsid w:val="001D3ADE"/>
    <w:rsid w:val="00212288"/>
    <w:rsid w:val="00226BB8"/>
    <w:rsid w:val="002322FC"/>
    <w:rsid w:val="00243D42"/>
    <w:rsid w:val="00261EA6"/>
    <w:rsid w:val="00263742"/>
    <w:rsid w:val="00264757"/>
    <w:rsid w:val="00282AC6"/>
    <w:rsid w:val="00283C93"/>
    <w:rsid w:val="00284A85"/>
    <w:rsid w:val="002A1652"/>
    <w:rsid w:val="002A5200"/>
    <w:rsid w:val="002C6014"/>
    <w:rsid w:val="002E4041"/>
    <w:rsid w:val="002E463C"/>
    <w:rsid w:val="003065C6"/>
    <w:rsid w:val="003401EF"/>
    <w:rsid w:val="00360418"/>
    <w:rsid w:val="0037157B"/>
    <w:rsid w:val="00374387"/>
    <w:rsid w:val="00387028"/>
    <w:rsid w:val="00387E7C"/>
    <w:rsid w:val="0039083C"/>
    <w:rsid w:val="003A3913"/>
    <w:rsid w:val="003A5E42"/>
    <w:rsid w:val="003A7B03"/>
    <w:rsid w:val="003B6761"/>
    <w:rsid w:val="003E7506"/>
    <w:rsid w:val="00404832"/>
    <w:rsid w:val="00406E33"/>
    <w:rsid w:val="004270D7"/>
    <w:rsid w:val="00430EBB"/>
    <w:rsid w:val="00447CA1"/>
    <w:rsid w:val="004504B8"/>
    <w:rsid w:val="0046208B"/>
    <w:rsid w:val="00472502"/>
    <w:rsid w:val="004B2B08"/>
    <w:rsid w:val="004D0E21"/>
    <w:rsid w:val="004E45B6"/>
    <w:rsid w:val="004F006D"/>
    <w:rsid w:val="004F046C"/>
    <w:rsid w:val="004F43B2"/>
    <w:rsid w:val="00500781"/>
    <w:rsid w:val="00523169"/>
    <w:rsid w:val="00530810"/>
    <w:rsid w:val="00545749"/>
    <w:rsid w:val="00577446"/>
    <w:rsid w:val="005A4076"/>
    <w:rsid w:val="005A4DB2"/>
    <w:rsid w:val="005E0694"/>
    <w:rsid w:val="005E2ACA"/>
    <w:rsid w:val="006152A4"/>
    <w:rsid w:val="00620EC7"/>
    <w:rsid w:val="00626000"/>
    <w:rsid w:val="00630B0D"/>
    <w:rsid w:val="00646EE9"/>
    <w:rsid w:val="00672E2B"/>
    <w:rsid w:val="00675EA6"/>
    <w:rsid w:val="006D1AAA"/>
    <w:rsid w:val="006D421F"/>
    <w:rsid w:val="006D56A5"/>
    <w:rsid w:val="006D72A9"/>
    <w:rsid w:val="006E3085"/>
    <w:rsid w:val="006F248B"/>
    <w:rsid w:val="006F6A11"/>
    <w:rsid w:val="00701B09"/>
    <w:rsid w:val="007176D0"/>
    <w:rsid w:val="0073753B"/>
    <w:rsid w:val="00757CD7"/>
    <w:rsid w:val="00802BD2"/>
    <w:rsid w:val="008108FE"/>
    <w:rsid w:val="00836BBE"/>
    <w:rsid w:val="008615ED"/>
    <w:rsid w:val="00867EC4"/>
    <w:rsid w:val="008B5241"/>
    <w:rsid w:val="008D288A"/>
    <w:rsid w:val="008D7A52"/>
    <w:rsid w:val="008E461C"/>
    <w:rsid w:val="008E7B56"/>
    <w:rsid w:val="008F5914"/>
    <w:rsid w:val="00915401"/>
    <w:rsid w:val="00923A44"/>
    <w:rsid w:val="0096406E"/>
    <w:rsid w:val="00967BD7"/>
    <w:rsid w:val="00970370"/>
    <w:rsid w:val="00991903"/>
    <w:rsid w:val="009A6546"/>
    <w:rsid w:val="009B18C1"/>
    <w:rsid w:val="009B2AB4"/>
    <w:rsid w:val="009C5898"/>
    <w:rsid w:val="009D1783"/>
    <w:rsid w:val="009E15D9"/>
    <w:rsid w:val="009E3C6D"/>
    <w:rsid w:val="00A257E4"/>
    <w:rsid w:val="00A37D36"/>
    <w:rsid w:val="00A44A98"/>
    <w:rsid w:val="00A45888"/>
    <w:rsid w:val="00A63694"/>
    <w:rsid w:val="00A75EE7"/>
    <w:rsid w:val="00A85B98"/>
    <w:rsid w:val="00AA7839"/>
    <w:rsid w:val="00AB062A"/>
    <w:rsid w:val="00AB4F46"/>
    <w:rsid w:val="00AC175F"/>
    <w:rsid w:val="00AC2AAE"/>
    <w:rsid w:val="00AC5F28"/>
    <w:rsid w:val="00AE793C"/>
    <w:rsid w:val="00AF14E2"/>
    <w:rsid w:val="00B01854"/>
    <w:rsid w:val="00B24D2E"/>
    <w:rsid w:val="00B301A0"/>
    <w:rsid w:val="00B31648"/>
    <w:rsid w:val="00B42B56"/>
    <w:rsid w:val="00B577CE"/>
    <w:rsid w:val="00B62CFD"/>
    <w:rsid w:val="00B856C3"/>
    <w:rsid w:val="00BA2FE0"/>
    <w:rsid w:val="00BB3E34"/>
    <w:rsid w:val="00BC412A"/>
    <w:rsid w:val="00BC4D05"/>
    <w:rsid w:val="00C04C31"/>
    <w:rsid w:val="00C15AA7"/>
    <w:rsid w:val="00C84232"/>
    <w:rsid w:val="00C8675F"/>
    <w:rsid w:val="00C873B5"/>
    <w:rsid w:val="00C95008"/>
    <w:rsid w:val="00CB11DF"/>
    <w:rsid w:val="00CD7500"/>
    <w:rsid w:val="00D130D5"/>
    <w:rsid w:val="00D216FB"/>
    <w:rsid w:val="00D378D6"/>
    <w:rsid w:val="00D629B9"/>
    <w:rsid w:val="00D80BB5"/>
    <w:rsid w:val="00DB57C5"/>
    <w:rsid w:val="00DC0D3B"/>
    <w:rsid w:val="00DC5FF0"/>
    <w:rsid w:val="00DF2BE6"/>
    <w:rsid w:val="00E01A7A"/>
    <w:rsid w:val="00E0247E"/>
    <w:rsid w:val="00E30B04"/>
    <w:rsid w:val="00E32265"/>
    <w:rsid w:val="00E3244B"/>
    <w:rsid w:val="00E446BE"/>
    <w:rsid w:val="00E455B0"/>
    <w:rsid w:val="00E52D69"/>
    <w:rsid w:val="00E602A3"/>
    <w:rsid w:val="00EA490F"/>
    <w:rsid w:val="00EC01EC"/>
    <w:rsid w:val="00EE00B0"/>
    <w:rsid w:val="00EF6FDB"/>
    <w:rsid w:val="00F35173"/>
    <w:rsid w:val="00F36748"/>
    <w:rsid w:val="00F41588"/>
    <w:rsid w:val="00F459F5"/>
    <w:rsid w:val="00F6320B"/>
    <w:rsid w:val="00F73E41"/>
    <w:rsid w:val="00F77058"/>
    <w:rsid w:val="00F92054"/>
    <w:rsid w:val="00F946F4"/>
    <w:rsid w:val="00F952E5"/>
    <w:rsid w:val="00FB413E"/>
    <w:rsid w:val="00FC37C7"/>
    <w:rsid w:val="00FC7EC4"/>
    <w:rsid w:val="00FD31A0"/>
    <w:rsid w:val="00FD7726"/>
    <w:rsid w:val="00FE0C6A"/>
    <w:rsid w:val="00FF0727"/>
    <w:rsid w:val="00FF22C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C96AEB"/>
  <w15:chartTrackingRefBased/>
  <w15:docId w15:val="{2B0938E3-4C00-48F6-AECA-78214E857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paragraph" w:styleId="2">
    <w:name w:val="heading 2"/>
    <w:basedOn w:val="a"/>
    <w:next w:val="a"/>
    <w:qFormat/>
    <w:rsid w:val="00A85B98"/>
    <w:pPr>
      <w:keepNext/>
      <w:spacing w:before="240" w:after="60"/>
      <w:outlineLvl w:val="1"/>
    </w:pPr>
    <w:rPr>
      <w:rFonts w:ascii="Arial" w:hAnsi="Arial" w:cs="Arial"/>
      <w:b/>
      <w:bCs/>
      <w:i/>
      <w:iCs/>
      <w:sz w:val="28"/>
      <w:szCs w:val="28"/>
    </w:rPr>
  </w:style>
  <w:style w:type="paragraph" w:styleId="3">
    <w:name w:val="heading 3"/>
    <w:basedOn w:val="a"/>
    <w:qFormat/>
    <w:rsid w:val="00447CA1"/>
    <w:pPr>
      <w:spacing w:before="100" w:beforeAutospacing="1" w:after="100" w:afterAutospacing="1"/>
      <w:outlineLvl w:val="2"/>
    </w:pPr>
    <w:rPr>
      <w:b/>
      <w:bCs/>
      <w:sz w:val="27"/>
      <w:szCs w:val="27"/>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447CA1"/>
    <w:pPr>
      <w:spacing w:before="100" w:beforeAutospacing="1" w:after="100" w:afterAutospacing="1"/>
    </w:pPr>
  </w:style>
  <w:style w:type="character" w:customStyle="1" w:styleId="apple-converted-space">
    <w:name w:val="apple-converted-space"/>
    <w:basedOn w:val="a0"/>
    <w:rsid w:val="00447CA1"/>
  </w:style>
  <w:style w:type="character" w:styleId="a4">
    <w:name w:val="Hyperlink"/>
    <w:rsid w:val="00A85B98"/>
    <w:rPr>
      <w:color w:val="0000FF"/>
      <w:u w:val="single"/>
    </w:rPr>
  </w:style>
  <w:style w:type="character" w:styleId="a5">
    <w:name w:val="Strong"/>
    <w:qFormat/>
    <w:rsid w:val="00A85B98"/>
    <w:rPr>
      <w:b/>
      <w:bCs/>
    </w:rPr>
  </w:style>
  <w:style w:type="character" w:styleId="a6">
    <w:name w:val="FollowedHyperlink"/>
    <w:rsid w:val="00A85B9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722038">
      <w:bodyDiv w:val="1"/>
      <w:marLeft w:val="0"/>
      <w:marRight w:val="0"/>
      <w:marTop w:val="0"/>
      <w:marBottom w:val="0"/>
      <w:divBdr>
        <w:top w:val="none" w:sz="0" w:space="0" w:color="auto"/>
        <w:left w:val="none" w:sz="0" w:space="0" w:color="auto"/>
        <w:bottom w:val="none" w:sz="0" w:space="0" w:color="auto"/>
        <w:right w:val="none" w:sz="0" w:space="0" w:color="auto"/>
      </w:divBdr>
    </w:div>
    <w:div w:id="657076601">
      <w:bodyDiv w:val="1"/>
      <w:marLeft w:val="0"/>
      <w:marRight w:val="0"/>
      <w:marTop w:val="0"/>
      <w:marBottom w:val="0"/>
      <w:divBdr>
        <w:top w:val="none" w:sz="0" w:space="0" w:color="auto"/>
        <w:left w:val="none" w:sz="0" w:space="0" w:color="auto"/>
        <w:bottom w:val="none" w:sz="0" w:space="0" w:color="auto"/>
        <w:right w:val="none" w:sz="0" w:space="0" w:color="auto"/>
      </w:divBdr>
    </w:div>
    <w:div w:id="684401744">
      <w:bodyDiv w:val="1"/>
      <w:marLeft w:val="0"/>
      <w:marRight w:val="0"/>
      <w:marTop w:val="0"/>
      <w:marBottom w:val="0"/>
      <w:divBdr>
        <w:top w:val="none" w:sz="0" w:space="0" w:color="auto"/>
        <w:left w:val="none" w:sz="0" w:space="0" w:color="auto"/>
        <w:bottom w:val="none" w:sz="0" w:space="0" w:color="auto"/>
        <w:right w:val="none" w:sz="0" w:space="0" w:color="auto"/>
      </w:divBdr>
    </w:div>
    <w:div w:id="1762799126">
      <w:bodyDiv w:val="1"/>
      <w:marLeft w:val="0"/>
      <w:marRight w:val="0"/>
      <w:marTop w:val="0"/>
      <w:marBottom w:val="0"/>
      <w:divBdr>
        <w:top w:val="none" w:sz="0" w:space="0" w:color="auto"/>
        <w:left w:val="none" w:sz="0" w:space="0" w:color="auto"/>
        <w:bottom w:val="none" w:sz="0" w:space="0" w:color="auto"/>
        <w:right w:val="none" w:sz="0" w:space="0" w:color="auto"/>
      </w:divBdr>
    </w:div>
    <w:div w:id="1822386869">
      <w:bodyDiv w:val="1"/>
      <w:marLeft w:val="0"/>
      <w:marRight w:val="0"/>
      <w:marTop w:val="0"/>
      <w:marBottom w:val="0"/>
      <w:divBdr>
        <w:top w:val="none" w:sz="0" w:space="0" w:color="auto"/>
        <w:left w:val="none" w:sz="0" w:space="0" w:color="auto"/>
        <w:bottom w:val="none" w:sz="0" w:space="0" w:color="auto"/>
        <w:right w:val="none" w:sz="0" w:space="0" w:color="auto"/>
      </w:divBdr>
      <w:divsChild>
        <w:div w:id="1506825205">
          <w:marLeft w:val="0"/>
          <w:marRight w:val="0"/>
          <w:marTop w:val="0"/>
          <w:marBottom w:val="0"/>
          <w:divBdr>
            <w:top w:val="none" w:sz="0" w:space="0" w:color="auto"/>
            <w:left w:val="none" w:sz="0" w:space="0" w:color="auto"/>
            <w:bottom w:val="none" w:sz="0" w:space="0" w:color="auto"/>
            <w:right w:val="none" w:sz="0" w:space="0" w:color="auto"/>
          </w:divBdr>
          <w:divsChild>
            <w:div w:id="90325459">
              <w:marLeft w:val="0"/>
              <w:marRight w:val="0"/>
              <w:marTop w:val="0"/>
              <w:marBottom w:val="0"/>
              <w:divBdr>
                <w:top w:val="none" w:sz="0" w:space="0" w:color="auto"/>
                <w:left w:val="none" w:sz="0" w:space="0" w:color="auto"/>
                <w:bottom w:val="none" w:sz="0" w:space="0" w:color="auto"/>
                <w:right w:val="none" w:sz="0" w:space="0" w:color="auto"/>
              </w:divBdr>
              <w:divsChild>
                <w:div w:id="599878179">
                  <w:marLeft w:val="0"/>
                  <w:marRight w:val="0"/>
                  <w:marTop w:val="0"/>
                  <w:marBottom w:val="0"/>
                  <w:divBdr>
                    <w:top w:val="none" w:sz="0" w:space="0" w:color="auto"/>
                    <w:left w:val="none" w:sz="0" w:space="0" w:color="auto"/>
                    <w:bottom w:val="none" w:sz="0" w:space="0" w:color="auto"/>
                    <w:right w:val="none" w:sz="0" w:space="0" w:color="auto"/>
                  </w:divBdr>
                </w:div>
              </w:divsChild>
            </w:div>
            <w:div w:id="167152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370</Words>
  <Characters>2114</Characters>
  <Application>Microsoft Office Word</Application>
  <DocSecurity>0</DocSecurity>
  <Lines>17</Lines>
  <Paragraphs>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5</vt:lpstr>
      <vt:lpstr>5</vt:lpstr>
    </vt:vector>
  </TitlesOfParts>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Rumen Yordanov</dc:creator>
  <cp:keywords/>
  <dc:description/>
  <cp:lastModifiedBy>Rumen Yordanov</cp:lastModifiedBy>
  <cp:revision>3</cp:revision>
  <dcterms:created xsi:type="dcterms:W3CDTF">2026-04-21T08:34:00Z</dcterms:created>
  <dcterms:modified xsi:type="dcterms:W3CDTF">2026-04-21T09:11:00Z</dcterms:modified>
</cp:coreProperties>
</file>