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5C" w:rsidRDefault="00D41A5C">
      <w:pPr>
        <w:pStyle w:val="a3"/>
        <w:jc w:val="center"/>
        <w:rPr>
          <w:rFonts w:eastAsia="MS Mincho"/>
          <w:sz w:val="28"/>
          <w:u w:val="single"/>
          <w:lang w:val="bg-BG"/>
        </w:rPr>
      </w:pPr>
      <w:bookmarkStart w:id="0" w:name="_GoBack"/>
      <w:bookmarkEnd w:id="0"/>
      <w:r>
        <w:rPr>
          <w:rFonts w:eastAsia="MS Mincho"/>
          <w:sz w:val="28"/>
          <w:u w:val="single"/>
          <w:lang w:val="bg-BG"/>
        </w:rPr>
        <w:t>ИЗСЛЕДВАНЕ НА ЗАГУБИТЕ НА ВОДА В РАЗПРЕДЕЛИТЕЛНАТА МРЕЖА</w:t>
      </w:r>
    </w:p>
    <w:p w:rsidR="00D41A5C" w:rsidRDefault="00D41A5C">
      <w:pPr>
        <w:pStyle w:val="a3"/>
        <w:jc w:val="center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Луйс Манзано</w:t>
      </w:r>
    </w:p>
    <w:p w:rsidR="0082098D" w:rsidRPr="0082098D" w:rsidRDefault="0082098D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82098D" w:rsidRDefault="00AA3D33" w:rsidP="0082098D">
      <w:pPr>
        <w:pStyle w:val="a3"/>
        <w:rPr>
          <w:rFonts w:eastAsia="MS Mincho"/>
        </w:rPr>
      </w:pPr>
      <w:r>
        <w:rPr>
          <w:rFonts w:eastAsia="MS Mincho"/>
          <w:noProof/>
          <w:lang w:val="bg-BG" w:eastAsia="bg-BG"/>
        </w:rPr>
        <w:drawing>
          <wp:inline distT="0" distB="0" distL="0" distR="0">
            <wp:extent cx="1535430" cy="1535430"/>
            <wp:effectExtent l="0" t="0" r="0" b="0"/>
            <wp:docPr id="1" name="Картина 1" descr="CE20C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20C6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98D" w:rsidRPr="0082098D" w:rsidRDefault="0082098D" w:rsidP="0082098D">
      <w:pPr>
        <w:pStyle w:val="a3"/>
        <w:rPr>
          <w:rFonts w:eastAsia="MS Mincho"/>
          <w:sz w:val="16"/>
          <w:szCs w:val="16"/>
          <w:lang w:val="bg-BG"/>
        </w:rPr>
      </w:pP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Изследва се кога се </w:t>
      </w:r>
      <w:r w:rsidR="00547C78">
        <w:rPr>
          <w:rFonts w:eastAsia="MS Mincho"/>
          <w:sz w:val="24"/>
          <w:lang w:val="bg-BG"/>
        </w:rPr>
        <w:t>появяват</w:t>
      </w:r>
      <w:r>
        <w:rPr>
          <w:rFonts w:eastAsia="MS Mincho"/>
          <w:sz w:val="24"/>
          <w:lang w:val="bg-BG"/>
        </w:rPr>
        <w:t xml:space="preserve"> течовете и колко дълго траят преди да избият на повърхността.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В една зона на 40 дни в продължение на 8 години се прослушват течовете.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Течовете не се </w:t>
      </w:r>
      <w:r w:rsidR="00547C78">
        <w:rPr>
          <w:rFonts w:eastAsia="MS Mincho"/>
          <w:sz w:val="24"/>
          <w:lang w:val="bg-BG"/>
        </w:rPr>
        <w:t>ремонтират</w:t>
      </w:r>
      <w:r>
        <w:rPr>
          <w:rFonts w:eastAsia="MS Mincho"/>
          <w:sz w:val="24"/>
          <w:lang w:val="bg-BG"/>
        </w:rPr>
        <w:t xml:space="preserve"> докато не се покажат на повърхността на земята.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Непрекъснато се наблюдава и нощната консумация на зоната,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 да се оцени големината на течовете.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Средно се появяват 1.4 бр. течове/км/год.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Средното времетраене на теча е 175 дни.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Средния дебит на един теч е /0.9 – 1.4/ М3/час.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Зоната е със следните параметри: Дължина 6980 м с 425 Връзки;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Възраст 20 години; Материал АС тръби;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Диаметри от Ф80 до Ф200;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Налягане /40-50/ м;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Следят се: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Честотата на поява на течовете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Продължителност и дебит;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Цената на водата и разходите за прослушване на мрежата.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За 8 год. са се появили 84 </w:t>
      </w:r>
      <w:r w:rsidR="00547C78">
        <w:rPr>
          <w:rFonts w:eastAsia="MS Mincho"/>
          <w:sz w:val="24"/>
          <w:lang w:val="bg-BG"/>
        </w:rPr>
        <w:t>теча, като</w:t>
      </w:r>
      <w:r>
        <w:rPr>
          <w:rFonts w:eastAsia="MS Mincho"/>
          <w:sz w:val="24"/>
          <w:lang w:val="bg-BG"/>
        </w:rPr>
        <w:t xml:space="preserve"> 6 бр. са регистрираните първоначално.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Течовете са се появявали сравнително равномерно във времето.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При засичане на теч с уреда за шум появата му се смята,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че е от 20 дни /половината от периода на замерване – 40 дни/.</w:t>
      </w:r>
    </w:p>
    <w:p w:rsidR="00D41A5C" w:rsidRDefault="00D41A5C">
      <w:pPr>
        <w:pStyle w:val="a3"/>
        <w:rPr>
          <w:rFonts w:eastAsia="MS Mincho"/>
          <w:sz w:val="28"/>
          <w:u w:val="single"/>
          <w:lang w:val="bg-BG"/>
        </w:rPr>
      </w:pPr>
      <w:r>
        <w:rPr>
          <w:rFonts w:eastAsia="MS Mincho"/>
          <w:sz w:val="28"/>
          <w:u w:val="single"/>
          <w:lang w:val="bg-BG"/>
        </w:rPr>
        <w:t>Резултати от експеримента: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1429"/>
        <w:gridCol w:w="1422"/>
        <w:gridCol w:w="1423"/>
        <w:gridCol w:w="1423"/>
        <w:gridCol w:w="1423"/>
        <w:gridCol w:w="1423"/>
        <w:gridCol w:w="1423"/>
      </w:tblGrid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Теч №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ДНИ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Теч №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ДНИ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Теч №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ДНИ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Теч №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ДНИ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1102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162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10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1062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157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10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902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154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39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66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9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618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154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46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67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9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561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26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151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47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553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27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143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69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530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140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49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8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510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29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110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71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9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489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96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51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10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482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31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94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11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444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91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19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382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13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377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67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76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14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347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56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77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15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338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36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57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15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16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312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37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79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17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310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56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59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80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18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249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39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56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81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19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218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40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49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61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82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20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192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41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48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83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  <w:tr w:rsidR="00D41A5C">
        <w:tblPrEx>
          <w:tblCellMar>
            <w:top w:w="0" w:type="dxa"/>
            <w:bottom w:w="0" w:type="dxa"/>
          </w:tblCellMar>
        </w:tblPrEx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21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192</w:t>
            </w:r>
          </w:p>
        </w:tc>
        <w:tc>
          <w:tcPr>
            <w:tcW w:w="1451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47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63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12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84</w:t>
            </w:r>
          </w:p>
        </w:tc>
        <w:tc>
          <w:tcPr>
            <w:tcW w:w="1452" w:type="dxa"/>
          </w:tcPr>
          <w:p w:rsidR="00D41A5C" w:rsidRDefault="00D41A5C">
            <w:pPr>
              <w:pStyle w:val="a3"/>
              <w:jc w:val="center"/>
              <w:rPr>
                <w:rFonts w:eastAsia="MS Mincho"/>
                <w:sz w:val="28"/>
                <w:lang w:val="bg-BG"/>
              </w:rPr>
            </w:pPr>
            <w:r>
              <w:rPr>
                <w:rFonts w:eastAsia="MS Mincho"/>
                <w:sz w:val="28"/>
                <w:lang w:val="bg-BG"/>
              </w:rPr>
              <w:t>1</w:t>
            </w:r>
          </w:p>
        </w:tc>
      </w:tr>
    </w:tbl>
    <w:p w:rsidR="00D41A5C" w:rsidRDefault="00D41A5C">
      <w:pPr>
        <w:pStyle w:val="a3"/>
        <w:rPr>
          <w:rFonts w:eastAsia="MS Mincho"/>
          <w:sz w:val="28"/>
          <w:u w:val="single"/>
          <w:lang w:val="bg-BG"/>
        </w:rPr>
      </w:pPr>
      <w:r>
        <w:rPr>
          <w:rFonts w:eastAsia="MS Mincho"/>
          <w:sz w:val="28"/>
          <w:u w:val="single"/>
          <w:lang w:val="bg-BG"/>
        </w:rPr>
        <w:lastRenderedPageBreak/>
        <w:t>ИЗВОДИ:</w:t>
      </w:r>
    </w:p>
    <w:p w:rsidR="00D41A5C" w:rsidRDefault="00D41A5C">
      <w:pPr>
        <w:pStyle w:val="a3"/>
        <w:numPr>
          <w:ilvl w:val="0"/>
          <w:numId w:val="1"/>
        </w:numPr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lang w:val="bg-BG"/>
        </w:rPr>
        <w:t>Течовете се появяват сравнително равномерно във времето.</w:t>
      </w:r>
    </w:p>
    <w:p w:rsidR="00D41A5C" w:rsidRDefault="00D41A5C">
      <w:pPr>
        <w:pStyle w:val="a3"/>
        <w:numPr>
          <w:ilvl w:val="0"/>
          <w:numId w:val="1"/>
        </w:numPr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lang w:val="bg-BG"/>
        </w:rPr>
        <w:t>Продължителността им е много различна от 1102 дни до 1 ден.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Средната продължителност е 175 дни.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Необходим е активен контрол на течовете – да се търсят планово скритите течове с апаратура.</w:t>
      </w:r>
    </w:p>
    <w:p w:rsidR="00D41A5C" w:rsidRDefault="00D41A5C">
      <w:pPr>
        <w:pStyle w:val="a3"/>
        <w:numPr>
          <w:ilvl w:val="0"/>
          <w:numId w:val="1"/>
        </w:numPr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lang w:val="bg-BG"/>
        </w:rPr>
        <w:t>Средно от 1 теч изтича 1 м3/час.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От анализа е определено,</w:t>
      </w:r>
      <w:r w:rsidR="001A1832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че за тази зона оптималния период за прослушване е на </w:t>
      </w:r>
    </w:p>
    <w:p w:rsidR="00D41A5C" w:rsidRDefault="00D41A5C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6 месеца /2 пъти годишно/.</w:t>
      </w:r>
    </w:p>
    <w:p w:rsidR="0082098D" w:rsidRDefault="0082098D">
      <w:pPr>
        <w:pStyle w:val="a3"/>
        <w:rPr>
          <w:rFonts w:eastAsia="MS Mincho"/>
          <w:sz w:val="24"/>
          <w:lang w:val="bg-BG"/>
        </w:rPr>
      </w:pPr>
    </w:p>
    <w:p w:rsidR="0082098D" w:rsidRDefault="00AA3D33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noProof/>
          <w:sz w:val="24"/>
          <w:u w:val="single"/>
          <w:lang w:val="bg-BG" w:eastAsia="bg-BG"/>
        </w:rPr>
        <w:drawing>
          <wp:inline distT="0" distB="0" distL="0" distR="0">
            <wp:extent cx="6837680" cy="5015865"/>
            <wp:effectExtent l="0" t="0" r="0" b="0"/>
            <wp:docPr id="2" name="Об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1A5C" w:rsidRDefault="00D41A5C">
      <w:pPr>
        <w:pStyle w:val="a3"/>
        <w:rPr>
          <w:rFonts w:eastAsia="MS Mincho"/>
          <w:sz w:val="24"/>
          <w:u w:val="single"/>
          <w:lang w:val="bg-BG"/>
        </w:rPr>
      </w:pPr>
    </w:p>
    <w:sectPr w:rsidR="00D41A5C">
      <w:headerReference w:type="default" r:id="rId9"/>
      <w:pgSz w:w="11907" w:h="16840" w:code="9"/>
      <w:pgMar w:top="227" w:right="0" w:bottom="652" w:left="510" w:header="113" w:footer="0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58" w:rsidRDefault="00C90758">
      <w:r>
        <w:separator/>
      </w:r>
    </w:p>
  </w:endnote>
  <w:endnote w:type="continuationSeparator" w:id="0">
    <w:p w:rsidR="00C90758" w:rsidRDefault="00C9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58" w:rsidRDefault="00C90758">
      <w:r>
        <w:separator/>
      </w:r>
    </w:p>
  </w:footnote>
  <w:footnote w:type="continuationSeparator" w:id="0">
    <w:p w:rsidR="00C90758" w:rsidRDefault="00C9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A5C" w:rsidRDefault="00D41A5C">
    <w:pPr>
      <w:pStyle w:val="a4"/>
      <w:rPr>
        <w:lang w:val="bg-BG"/>
      </w:rPr>
    </w:pP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testLEAK</w:t>
    </w:r>
    <w:r>
      <w:rPr>
        <w:lang w:val="bg-BG"/>
      </w:rPr>
      <w:fldChar w:fldCharType="end"/>
    </w: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47C78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  <w:lang w:val="bg-BG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  <w:lang w:val="bg-BG"/>
      </w:rPr>
      <w:fldChar w:fldCharType="separate"/>
    </w:r>
    <w:r w:rsidR="00AA3D33">
      <w:rPr>
        <w:rStyle w:val="a6"/>
        <w:noProof/>
      </w:rPr>
      <w:t>21.4.2026 г.</w:t>
    </w:r>
    <w:r>
      <w:rPr>
        <w:rStyle w:val="a6"/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464C0"/>
    <w:multiLevelType w:val="hybridMultilevel"/>
    <w:tmpl w:val="E1CAB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32"/>
    <w:rsid w:val="001A1832"/>
    <w:rsid w:val="00547C78"/>
    <w:rsid w:val="0082098D"/>
    <w:rsid w:val="009C63EE"/>
    <w:rsid w:val="00AA3D33"/>
    <w:rsid w:val="00C90758"/>
    <w:rsid w:val="00D4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2CFA60-0466-4593-A894-598A2D64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571428571428571"/>
          <c:y val="0.13422818791946309"/>
          <c:w val="0.82857142857142863"/>
          <c:h val="0.624161073825503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25325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Sheet1!$A$1:$A$84</c:f>
              <c:numCache>
                <c:formatCode>General</c:formatCode>
                <c:ptCount val="8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42-40D8-992D-B10D51B8CB00}"/>
            </c:ext>
          </c:extLst>
        </c:ser>
        <c:ser>
          <c:idx val="1"/>
          <c:order val="1"/>
          <c:spPr>
            <a:solidFill>
              <a:srgbClr val="993366"/>
            </a:solidFill>
            <a:ln w="25325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Sheet1!$B$1:$B$84</c:f>
              <c:numCache>
                <c:formatCode>General</c:formatCode>
                <c:ptCount val="84"/>
                <c:pt idx="0">
                  <c:v>1102</c:v>
                </c:pt>
                <c:pt idx="1">
                  <c:v>1062</c:v>
                </c:pt>
                <c:pt idx="2">
                  <c:v>902</c:v>
                </c:pt>
                <c:pt idx="3">
                  <c:v>618</c:v>
                </c:pt>
                <c:pt idx="4">
                  <c:v>561</c:v>
                </c:pt>
                <c:pt idx="5">
                  <c:v>553</c:v>
                </c:pt>
                <c:pt idx="6">
                  <c:v>530</c:v>
                </c:pt>
                <c:pt idx="7">
                  <c:v>510</c:v>
                </c:pt>
                <c:pt idx="8">
                  <c:v>489</c:v>
                </c:pt>
                <c:pt idx="9">
                  <c:v>482</c:v>
                </c:pt>
                <c:pt idx="10">
                  <c:v>444</c:v>
                </c:pt>
                <c:pt idx="11">
                  <c:v>382</c:v>
                </c:pt>
                <c:pt idx="12">
                  <c:v>377</c:v>
                </c:pt>
                <c:pt idx="13">
                  <c:v>347</c:v>
                </c:pt>
                <c:pt idx="14">
                  <c:v>338</c:v>
                </c:pt>
                <c:pt idx="15">
                  <c:v>312</c:v>
                </c:pt>
                <c:pt idx="16">
                  <c:v>310</c:v>
                </c:pt>
                <c:pt idx="17">
                  <c:v>249</c:v>
                </c:pt>
                <c:pt idx="18">
                  <c:v>218</c:v>
                </c:pt>
                <c:pt idx="19">
                  <c:v>192</c:v>
                </c:pt>
                <c:pt idx="20">
                  <c:v>192</c:v>
                </c:pt>
                <c:pt idx="21">
                  <c:v>162</c:v>
                </c:pt>
                <c:pt idx="22">
                  <c:v>157</c:v>
                </c:pt>
                <c:pt idx="23">
                  <c:v>154</c:v>
                </c:pt>
                <c:pt idx="24">
                  <c:v>154</c:v>
                </c:pt>
                <c:pt idx="25">
                  <c:v>151</c:v>
                </c:pt>
                <c:pt idx="26">
                  <c:v>143</c:v>
                </c:pt>
                <c:pt idx="27">
                  <c:v>140</c:v>
                </c:pt>
                <c:pt idx="28">
                  <c:v>110</c:v>
                </c:pt>
                <c:pt idx="29">
                  <c:v>96</c:v>
                </c:pt>
                <c:pt idx="30">
                  <c:v>94</c:v>
                </c:pt>
                <c:pt idx="31">
                  <c:v>91</c:v>
                </c:pt>
                <c:pt idx="32">
                  <c:v>73</c:v>
                </c:pt>
                <c:pt idx="33">
                  <c:v>67</c:v>
                </c:pt>
                <c:pt idx="34">
                  <c:v>63</c:v>
                </c:pt>
                <c:pt idx="35">
                  <c:v>62</c:v>
                </c:pt>
                <c:pt idx="36">
                  <c:v>58</c:v>
                </c:pt>
                <c:pt idx="37">
                  <c:v>56</c:v>
                </c:pt>
                <c:pt idx="38">
                  <c:v>56</c:v>
                </c:pt>
                <c:pt idx="39">
                  <c:v>49</c:v>
                </c:pt>
                <c:pt idx="40">
                  <c:v>48</c:v>
                </c:pt>
                <c:pt idx="41">
                  <c:v>47</c:v>
                </c:pt>
                <c:pt idx="42">
                  <c:v>45</c:v>
                </c:pt>
                <c:pt idx="43">
                  <c:v>43</c:v>
                </c:pt>
                <c:pt idx="44">
                  <c:v>39</c:v>
                </c:pt>
                <c:pt idx="45">
                  <c:v>35</c:v>
                </c:pt>
                <c:pt idx="46">
                  <c:v>35</c:v>
                </c:pt>
                <c:pt idx="47">
                  <c:v>33</c:v>
                </c:pt>
                <c:pt idx="48">
                  <c:v>33</c:v>
                </c:pt>
                <c:pt idx="49">
                  <c:v>30</c:v>
                </c:pt>
                <c:pt idx="50">
                  <c:v>28</c:v>
                </c:pt>
                <c:pt idx="51">
                  <c:v>20</c:v>
                </c:pt>
                <c:pt idx="52">
                  <c:v>19</c:v>
                </c:pt>
                <c:pt idx="53">
                  <c:v>18</c:v>
                </c:pt>
                <c:pt idx="54">
                  <c:v>18</c:v>
                </c:pt>
                <c:pt idx="55">
                  <c:v>18</c:v>
                </c:pt>
                <c:pt idx="56">
                  <c:v>15</c:v>
                </c:pt>
                <c:pt idx="57">
                  <c:v>14</c:v>
                </c:pt>
                <c:pt idx="58">
                  <c:v>14</c:v>
                </c:pt>
                <c:pt idx="59">
                  <c:v>13</c:v>
                </c:pt>
                <c:pt idx="60">
                  <c:v>13</c:v>
                </c:pt>
                <c:pt idx="61">
                  <c:v>12</c:v>
                </c:pt>
                <c:pt idx="62">
                  <c:v>12</c:v>
                </c:pt>
                <c:pt idx="63">
                  <c:v>10</c:v>
                </c:pt>
                <c:pt idx="64">
                  <c:v>10</c:v>
                </c:pt>
                <c:pt idx="65">
                  <c:v>9</c:v>
                </c:pt>
                <c:pt idx="66">
                  <c:v>9</c:v>
                </c:pt>
                <c:pt idx="67">
                  <c:v>6</c:v>
                </c:pt>
                <c:pt idx="68">
                  <c:v>3</c:v>
                </c:pt>
                <c:pt idx="69">
                  <c:v>2</c:v>
                </c:pt>
                <c:pt idx="70">
                  <c:v>1</c:v>
                </c:pt>
                <c:pt idx="71">
                  <c:v>1</c:v>
                </c:pt>
                <c:pt idx="72">
                  <c:v>1</c:v>
                </c:pt>
                <c:pt idx="73">
                  <c:v>1</c:v>
                </c:pt>
                <c:pt idx="74">
                  <c:v>1</c:v>
                </c:pt>
                <c:pt idx="75">
                  <c:v>1</c:v>
                </c:pt>
                <c:pt idx="76">
                  <c:v>1</c:v>
                </c:pt>
                <c:pt idx="77">
                  <c:v>1</c:v>
                </c:pt>
                <c:pt idx="78">
                  <c:v>1</c:v>
                </c:pt>
                <c:pt idx="79">
                  <c:v>1</c:v>
                </c:pt>
                <c:pt idx="80">
                  <c:v>1</c:v>
                </c:pt>
                <c:pt idx="81">
                  <c:v>1</c:v>
                </c:pt>
                <c:pt idx="82">
                  <c:v>1</c:v>
                </c:pt>
                <c:pt idx="8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42-40D8-992D-B10D51B8CB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0494896"/>
        <c:axId val="1"/>
      </c:barChart>
      <c:catAx>
        <c:axId val="67049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633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95" b="0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6"/>
        <c:tickMarkSkip val="1"/>
        <c:noMultiLvlLbl val="0"/>
      </c:catAx>
      <c:valAx>
        <c:axId val="1"/>
        <c:scaling>
          <c:orientation val="minMax"/>
          <c:max val="1100"/>
          <c:min val="0"/>
        </c:scaling>
        <c:delete val="0"/>
        <c:axPos val="l"/>
        <c:majorGridlines>
          <c:spPr>
            <a:ln w="633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633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95" b="0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bg-BG"/>
          </a:p>
        </c:txPr>
        <c:crossAx val="670494896"/>
        <c:crosses val="autoZero"/>
        <c:crossBetween val="between"/>
        <c:majorUnit val="300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FFFFFF" mc:Ignorable="a14" a14:legacySpreadsheetColorIndex="9">
                <a:gamma/>
                <a:tint val="0"/>
                <a:invGamma/>
              </a:srgbClr>
            </a:gs>
          </a:gsLst>
          <a:lin ang="5400000" scaled="1"/>
        </a:gradFill>
        <a:ln w="2532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95" b="0" i="0" u="none" strike="noStrike" baseline="0">
          <a:solidFill>
            <a:srgbClr val="000000"/>
          </a:solidFill>
          <a:latin typeface="Tahoma"/>
          <a:ea typeface="Tahoma"/>
          <a:cs typeface="Tahoma"/>
        </a:defRPr>
      </a:pPr>
      <a:endParaRPr lang="bg-B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Н А М А Л Я В А Н Е   Н А   З А Г У Б И Т Е   Н А   В О Д А</vt:lpstr>
      <vt:lpstr>    Н А М А Л Я В А Н Е   Н А   З А Г У Б И Т Е   Н А   В О Д А</vt:lpstr>
    </vt:vector>
  </TitlesOfParts>
  <Company>tj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М А Л Я В А Н Е   Н А   З А Г У Б И Т Е   Н А   В О Д А</dc:title>
  <dc:subject/>
  <dc:creator>rj</dc:creator>
  <cp:keywords/>
  <dc:description/>
  <cp:lastModifiedBy>Rumen Yordanov</cp:lastModifiedBy>
  <cp:revision>3</cp:revision>
  <dcterms:created xsi:type="dcterms:W3CDTF">2026-04-21T09:32:00Z</dcterms:created>
  <dcterms:modified xsi:type="dcterms:W3CDTF">2026-04-21T09:33:00Z</dcterms:modified>
</cp:coreProperties>
</file>