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81" w:rsidRPr="00C01B39" w:rsidRDefault="00014281">
      <w:pPr>
        <w:pStyle w:val="a7"/>
      </w:pPr>
      <w:r>
        <w:t>Проект за снижаване загубите на водата</w:t>
      </w:r>
      <w:r w:rsidR="00C01B39">
        <w:rPr>
          <w:lang w:val="en-US"/>
        </w:rPr>
        <w:t xml:space="preserve"> </w:t>
      </w:r>
      <w:r w:rsidR="00C01B39">
        <w:t>в Малайзия</w:t>
      </w:r>
      <w:bookmarkStart w:id="0" w:name="_GoBack"/>
      <w:bookmarkEnd w:id="0"/>
    </w:p>
    <w:p w:rsidR="006D3AAB" w:rsidRPr="006D3AAB" w:rsidRDefault="006D3AAB">
      <w:pPr>
        <w:pStyle w:val="a7"/>
        <w:rPr>
          <w:sz w:val="16"/>
          <w:szCs w:val="16"/>
        </w:rPr>
      </w:pPr>
    </w:p>
    <w:p w:rsidR="006D3AAB" w:rsidRDefault="00B019A2">
      <w:pPr>
        <w:pStyle w:val="a7"/>
      </w:pPr>
      <w:r>
        <w:rPr>
          <w:noProof/>
          <w:lang w:eastAsia="bg-BG"/>
        </w:rPr>
        <w:drawing>
          <wp:inline distT="0" distB="0" distL="0" distR="0">
            <wp:extent cx="3193415" cy="2122170"/>
            <wp:effectExtent l="0" t="0" r="0" b="0"/>
            <wp:docPr id="1" name="Картина 1" descr="AAE42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E425B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2142490" cy="2142490"/>
            <wp:effectExtent l="0" t="0" r="0" b="0"/>
            <wp:docPr id="2" name="Картина 2" descr="F365D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365DF2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281" w:rsidRDefault="00014281">
      <w:pPr>
        <w:rPr>
          <w:lang w:val="bg-BG"/>
        </w:rPr>
      </w:pPr>
      <w:r>
        <w:rPr>
          <w:lang w:val="bg-BG"/>
        </w:rPr>
        <w:t>Проектът е за срок от 9г. и възлиза на 105мил. $ и срок за възвръщане на инвестициите 6,7 г., при средна цена на водата 0,33$/м</w:t>
      </w:r>
      <w:r>
        <w:rPr>
          <w:vertAlign w:val="superscript"/>
          <w:lang w:val="bg-BG"/>
        </w:rPr>
        <w:t>3</w:t>
      </w:r>
      <w:r>
        <w:rPr>
          <w:lang w:val="bg-BG"/>
        </w:rPr>
        <w:t>.</w:t>
      </w:r>
      <w:r w:rsidR="00AC579C">
        <w:rPr>
          <w:lang w:val="bg-BG"/>
        </w:rPr>
        <w:t xml:space="preserve"> </w:t>
      </w:r>
      <w:r>
        <w:rPr>
          <w:lang w:val="bg-BG"/>
        </w:rPr>
        <w:t>(72ст/м</w:t>
      </w:r>
      <w:r>
        <w:rPr>
          <w:vertAlign w:val="superscript"/>
          <w:lang w:val="bg-BG"/>
        </w:rPr>
        <w:t>3</w:t>
      </w:r>
      <w:r>
        <w:rPr>
          <w:lang w:val="bg-BG"/>
        </w:rPr>
        <w:t>).</w:t>
      </w:r>
      <w:r w:rsidR="00AC579C">
        <w:rPr>
          <w:lang w:val="bg-BG"/>
        </w:rPr>
        <w:t xml:space="preserve"> </w:t>
      </w:r>
      <w:r>
        <w:rPr>
          <w:lang w:val="bg-BG"/>
        </w:rPr>
        <w:t>Там където се смята,</w:t>
      </w:r>
      <w:r w:rsidR="00AC579C">
        <w:rPr>
          <w:lang w:val="bg-BG"/>
        </w:rPr>
        <w:t xml:space="preserve"> </w:t>
      </w:r>
      <w:r>
        <w:rPr>
          <w:lang w:val="bg-BG"/>
        </w:rPr>
        <w:t>че не е подходящо да се приватизира ВиК, с цел намаляване загубите на вода, може да се наеме специализирана фирма – в случая ВиК Бристол.</w:t>
      </w:r>
    </w:p>
    <w:p w:rsidR="00014281" w:rsidRDefault="00014281">
      <w:pPr>
        <w:rPr>
          <w:lang w:val="bg-BG"/>
        </w:rPr>
      </w:pPr>
      <w:r>
        <w:rPr>
          <w:lang w:val="bg-BG"/>
        </w:rPr>
        <w:t>Първата фаза на проекта е да се докаже ефективността от мерките за снижаване на загубите в един квартал – “пилотен проект” за 18 месечен период.</w:t>
      </w:r>
    </w:p>
    <w:p w:rsidR="00014281" w:rsidRDefault="00014281">
      <w:pPr>
        <w:rPr>
          <w:lang w:val="bg-BG"/>
        </w:rPr>
      </w:pPr>
      <w:r>
        <w:rPr>
          <w:lang w:val="bg-BG"/>
        </w:rPr>
        <w:tab/>
        <w:t>Мерките са: управление на налягането; активен контрол на течовете; подмяна на домови отклонения и подмяна на водомери. Тъй като проекта изисква голямо участие на човешки труд, то този труд се планира по следния начин: фирмата от Англия (техни специалисти)</w:t>
      </w:r>
      <w:r w:rsidR="00AC579C">
        <w:rPr>
          <w:lang w:val="bg-BG"/>
        </w:rPr>
        <w:t xml:space="preserve"> </w:t>
      </w:r>
      <w:r>
        <w:rPr>
          <w:lang w:val="bg-BG"/>
        </w:rPr>
        <w:t xml:space="preserve">- 750 човеко-месеца, а фирмата от Малайзия –15 000 човеко-месеца или съотношение 1:20 . </w:t>
      </w:r>
    </w:p>
    <w:p w:rsidR="00014281" w:rsidRDefault="00014281">
      <w:pPr>
        <w:rPr>
          <w:lang w:val="bg-BG"/>
        </w:rPr>
      </w:pPr>
      <w:r>
        <w:t>“BABE”- the Burst and Background Estimates Concepts</w:t>
      </w:r>
      <w:r>
        <w:rPr>
          <w:lang w:val="bg-BG"/>
        </w:rPr>
        <w:t xml:space="preserve"> е инструмент за анализ на базата на загуби от аварирали водопроводи (точкови) и загуби по дължината на водопровода от връзки. </w:t>
      </w:r>
    </w:p>
    <w:p w:rsidR="00014281" w:rsidRDefault="00014281">
      <w:pPr>
        <w:rPr>
          <w:lang w:val="bg-BG"/>
        </w:rPr>
      </w:pPr>
      <w:r>
        <w:rPr>
          <w:lang w:val="bg-BG"/>
        </w:rPr>
        <w:t>Методиката  е разработена от Алън Ламб</w:t>
      </w:r>
      <w:r w:rsidR="00AC579C">
        <w:rPr>
          <w:lang w:val="bg-BG"/>
        </w:rPr>
        <w:t>ъ</w:t>
      </w:r>
      <w:r>
        <w:rPr>
          <w:lang w:val="bg-BG"/>
        </w:rPr>
        <w:t>рт 1994</w:t>
      </w:r>
      <w:r w:rsidR="00AC579C">
        <w:rPr>
          <w:lang w:val="bg-BG"/>
        </w:rPr>
        <w:t xml:space="preserve"> </w:t>
      </w:r>
      <w:r>
        <w:rPr>
          <w:lang w:val="bg-BG"/>
        </w:rPr>
        <w:t>г. – и се използва успешно в цял свят.</w:t>
      </w:r>
    </w:p>
    <w:p w:rsidR="00014281" w:rsidRDefault="00014281">
      <w:r>
        <w:rPr>
          <w:lang w:val="bg-BG"/>
        </w:rPr>
        <w:tab/>
        <w:t xml:space="preserve">Преди да се поеме </w:t>
      </w:r>
      <w:r w:rsidR="00DD7E28">
        <w:rPr>
          <w:lang w:val="bg-BG"/>
        </w:rPr>
        <w:t>ангажимент</w:t>
      </w:r>
      <w:r>
        <w:rPr>
          <w:lang w:val="bg-BG"/>
        </w:rPr>
        <w:t xml:space="preserve">, че загубите ще се снижат, контракторът прави този анализ . </w:t>
      </w:r>
    </w:p>
    <w:p w:rsidR="00014281" w:rsidRDefault="00014281">
      <w:pPr>
        <w:rPr>
          <w:lang w:val="bg-BG"/>
        </w:rPr>
      </w:pPr>
      <w:r>
        <w:t xml:space="preserve">BABE </w:t>
      </w:r>
      <w:r>
        <w:rPr>
          <w:lang w:val="bg-BG"/>
        </w:rPr>
        <w:t>помага да се определят компонентите на загубите.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течове по дължината от връзки и фитинги(течове с малки обеми, трудни за прослушване,</w:t>
      </w:r>
      <w:r w:rsidR="00AC579C">
        <w:rPr>
          <w:lang w:val="bg-BG"/>
        </w:rPr>
        <w:t xml:space="preserve"> </w:t>
      </w:r>
      <w:r>
        <w:rPr>
          <w:lang w:val="bg-BG"/>
        </w:rPr>
        <w:t>множество малки течове разпределени по дължината на водопровода).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докладвани течове и аварии – обикновено с голям дебит, но с малко времетраене.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неизвестни течове – оценяват се като средни изтичания със средна продължителност, зависеща от прилагания метод за активен контрол. Чрез определяне на горно и долно ниво на икономиите, може да се прецени дали си струва да се инвестира  в тази дейност, какъв е максималния  обем на инвестициите и какви цели ще се достигнат.</w:t>
      </w:r>
    </w:p>
    <w:p w:rsidR="00014281" w:rsidRDefault="00014281">
      <w:pPr>
        <w:pStyle w:val="a3"/>
      </w:pPr>
      <w:r>
        <w:t>Възнаграждението на фирмата изпълнител на проекта е обвързано с крайните резултати. Предварително се прави ВАВЕ анализ и се поставят реални цели, така че и инвеститорът и изпълнителят да са с ясни позиции.</w:t>
      </w:r>
    </w:p>
    <w:p w:rsidR="00014281" w:rsidRDefault="00014281">
      <w:pPr>
        <w:pStyle w:val="a3"/>
        <w:ind w:firstLine="0"/>
      </w:pPr>
      <w:r>
        <w:t xml:space="preserve">Наблюдението на дебита и налягането са задължителни, с цел оценка на постигнатите резултати. </w:t>
      </w:r>
    </w:p>
    <w:p w:rsidR="00014281" w:rsidRDefault="00014281">
      <w:pPr>
        <w:rPr>
          <w:lang w:val="bg-BG"/>
        </w:rPr>
      </w:pPr>
      <w:r>
        <w:rPr>
          <w:lang w:val="bg-BG"/>
        </w:rPr>
        <w:t>С цел оптималното снижение на загубите, мрежата се разделя на зони  от 500 до 2000 домови отклонения. След това се монтира общ водомер на входа и се измерват водните количества за 7 дни. Изчислява се средно дневния дебит в (м</w:t>
      </w:r>
      <w:r>
        <w:rPr>
          <w:vertAlign w:val="superscript"/>
          <w:lang w:val="bg-BG"/>
        </w:rPr>
        <w:t>3</w:t>
      </w:r>
      <w:r>
        <w:rPr>
          <w:lang w:val="bg-BG"/>
        </w:rPr>
        <w:t xml:space="preserve">/ден). За същият период се отчитат и водомерите на клиентите и се изчисляват загубите от разликата  </w:t>
      </w:r>
      <w:r>
        <w:t>Q</w:t>
      </w:r>
      <w:r>
        <w:rPr>
          <w:vertAlign w:val="subscript"/>
          <w:lang w:val="bg-BG"/>
        </w:rPr>
        <w:t>под</w:t>
      </w:r>
      <w:r>
        <w:rPr>
          <w:lang w:val="bg-BG"/>
        </w:rPr>
        <w:t>-</w:t>
      </w:r>
      <w:r>
        <w:t>Q</w:t>
      </w:r>
      <w:r>
        <w:rPr>
          <w:vertAlign w:val="subscript"/>
          <w:lang w:val="bg-BG"/>
        </w:rPr>
        <w:t>отч</w:t>
      </w:r>
      <w:r>
        <w:rPr>
          <w:lang w:val="bg-BG"/>
        </w:rPr>
        <w:t>=</w:t>
      </w:r>
      <w:r>
        <w:t>Q</w:t>
      </w:r>
      <w:r>
        <w:rPr>
          <w:vertAlign w:val="subscript"/>
          <w:lang w:val="bg-BG"/>
        </w:rPr>
        <w:t>заг. ср./дневно</w:t>
      </w:r>
      <w:r>
        <w:rPr>
          <w:lang w:val="bg-BG"/>
        </w:rPr>
        <w:t xml:space="preserve">. След изпълнение на всички мероприятия за снижаване на загубите, това измерване се повтаря и отново се определя </w:t>
      </w:r>
      <w:r>
        <w:t>Q</w:t>
      </w:r>
      <w:r>
        <w:rPr>
          <w:vertAlign w:val="subscript"/>
          <w:lang w:val="bg-BG"/>
        </w:rPr>
        <w:t>заг</w:t>
      </w:r>
      <w:r>
        <w:rPr>
          <w:vertAlign w:val="subscript"/>
        </w:rPr>
        <w:t>2</w:t>
      </w:r>
      <w:r>
        <w:rPr>
          <w:vertAlign w:val="subscript"/>
          <w:lang w:val="bg-BG"/>
        </w:rPr>
        <w:t>./дневно</w:t>
      </w:r>
      <w:r>
        <w:rPr>
          <w:lang w:val="bg-BG"/>
        </w:rPr>
        <w:t xml:space="preserve">. След  това се изчислява ефекта от мероприятията </w:t>
      </w:r>
      <w:r>
        <w:t>Q</w:t>
      </w:r>
      <w:r>
        <w:rPr>
          <w:vertAlign w:val="subscript"/>
          <w:lang w:val="bg-BG"/>
        </w:rPr>
        <w:t>заг</w:t>
      </w:r>
      <w:r>
        <w:rPr>
          <w:lang w:val="bg-BG"/>
        </w:rPr>
        <w:t>-</w:t>
      </w:r>
      <w:r>
        <w:t>Q</w:t>
      </w:r>
      <w:r>
        <w:rPr>
          <w:vertAlign w:val="subscript"/>
          <w:lang w:val="bg-BG"/>
        </w:rPr>
        <w:t>заг2</w:t>
      </w:r>
      <w:r>
        <w:rPr>
          <w:lang w:val="bg-BG"/>
        </w:rPr>
        <w:t xml:space="preserve"> (м</w:t>
      </w:r>
      <w:r>
        <w:rPr>
          <w:vertAlign w:val="superscript"/>
          <w:lang w:val="bg-BG"/>
        </w:rPr>
        <w:t>3</w:t>
      </w:r>
      <w:r>
        <w:rPr>
          <w:lang w:val="bg-BG"/>
        </w:rPr>
        <w:t>/ден). При обследването се откриват и някои нелегални връзки. В такъв случ</w:t>
      </w:r>
      <w:r w:rsidR="00C54A17">
        <w:t>a</w:t>
      </w:r>
      <w:r>
        <w:rPr>
          <w:lang w:val="bg-BG"/>
        </w:rPr>
        <w:t>й те влизат във формулата за изчисляване на ефекта:  К=</w:t>
      </w:r>
      <w:r>
        <w:t>Q</w:t>
      </w:r>
      <w:r>
        <w:rPr>
          <w:vertAlign w:val="subscript"/>
          <w:lang w:val="bg-BG"/>
        </w:rPr>
        <w:t>заг1</w:t>
      </w:r>
      <w:r>
        <w:rPr>
          <w:lang w:val="bg-BG"/>
        </w:rPr>
        <w:t>/</w:t>
      </w:r>
      <w:r>
        <w:t>Q</w:t>
      </w:r>
      <w:r>
        <w:rPr>
          <w:vertAlign w:val="subscript"/>
          <w:lang w:val="bg-BG"/>
        </w:rPr>
        <w:t>заг2</w:t>
      </w:r>
      <w:r>
        <w:rPr>
          <w:lang w:val="bg-BG"/>
        </w:rPr>
        <w:t xml:space="preserve">+ </w:t>
      </w:r>
      <w:r>
        <w:t>Q</w:t>
      </w:r>
      <w:r>
        <w:rPr>
          <w:vertAlign w:val="subscript"/>
          <w:lang w:val="bg-BG"/>
        </w:rPr>
        <w:t>незак. връзки</w:t>
      </w:r>
      <w:r>
        <w:rPr>
          <w:lang w:val="bg-BG"/>
        </w:rPr>
        <w:t>. Целта в проекта е да се снижат загубите 18 450 м</w:t>
      </w:r>
      <w:r>
        <w:rPr>
          <w:vertAlign w:val="superscript"/>
          <w:lang w:val="bg-BG"/>
        </w:rPr>
        <w:t>3</w:t>
      </w:r>
      <w:r>
        <w:rPr>
          <w:lang w:val="bg-BG"/>
        </w:rPr>
        <w:t>/ден, като 10 450 м</w:t>
      </w:r>
      <w:r>
        <w:rPr>
          <w:vertAlign w:val="superscript"/>
          <w:lang w:val="bg-BG"/>
        </w:rPr>
        <w:t>3</w:t>
      </w:r>
      <w:r>
        <w:rPr>
          <w:lang w:val="bg-BG"/>
        </w:rPr>
        <w:t>/ден се получават от течовете, а 6 400 м</w:t>
      </w:r>
      <w:r>
        <w:rPr>
          <w:vertAlign w:val="superscript"/>
          <w:lang w:val="bg-BG"/>
        </w:rPr>
        <w:t>3</w:t>
      </w:r>
      <w:r>
        <w:rPr>
          <w:lang w:val="bg-BG"/>
        </w:rPr>
        <w:t>/ден от неточни водомери. Инвестицията е 4,5 мил</w:t>
      </w:r>
      <w:r w:rsidR="009435B2">
        <w:t>.</w:t>
      </w:r>
      <w:r>
        <w:rPr>
          <w:lang w:val="bg-BG"/>
        </w:rPr>
        <w:t>$ и включва: планиране, определяне на течовете, доставка на материали и строителни работи, надзор и др.</w:t>
      </w:r>
    </w:p>
    <w:p w:rsidR="00014281" w:rsidRDefault="00014281">
      <w:pPr>
        <w:ind w:firstLine="720"/>
        <w:rPr>
          <w:lang w:val="bg-BG"/>
        </w:rPr>
      </w:pPr>
      <w:r>
        <w:rPr>
          <w:lang w:val="bg-BG"/>
        </w:rPr>
        <w:t>В програмата за снижение на течовете влиза: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избор и установяване на зони за снижаване на загубите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доставка на материали и съоръжения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изпълнение на всички работи по ремонтите</w:t>
      </w:r>
    </w:p>
    <w:p w:rsidR="00014281" w:rsidRDefault="00014281">
      <w:pPr>
        <w:ind w:left="720"/>
        <w:rPr>
          <w:lang w:val="bg-BG"/>
        </w:rPr>
      </w:pPr>
      <w:r>
        <w:rPr>
          <w:lang w:val="bg-BG"/>
        </w:rPr>
        <w:t>В програмата за подмяна на водомерите влиза:</w:t>
      </w:r>
    </w:p>
    <w:p w:rsidR="00014281" w:rsidRDefault="00014281">
      <w:pPr>
        <w:pStyle w:val="a3"/>
        <w:numPr>
          <w:ilvl w:val="0"/>
          <w:numId w:val="1"/>
        </w:numPr>
      </w:pPr>
      <w:r>
        <w:t>анализ на завареното положение – каква е точността, каква е възрастта на водомерите, колко са повредени и неточни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доставка и монтаж на нови водомери.</w:t>
      </w:r>
    </w:p>
    <w:p w:rsidR="00014281" w:rsidRDefault="00014281">
      <w:pPr>
        <w:rPr>
          <w:lang w:val="bg-BG"/>
        </w:rPr>
      </w:pPr>
      <w:r>
        <w:rPr>
          <w:lang w:val="bg-BG"/>
        </w:rPr>
        <w:lastRenderedPageBreak/>
        <w:t xml:space="preserve">Резултатите от подмяната на водомерите се изчислява на базата на </w:t>
      </w:r>
      <w:r w:rsidR="00DD7E28">
        <w:rPr>
          <w:lang w:val="bg-BG"/>
        </w:rPr>
        <w:t>средно дневната</w:t>
      </w:r>
      <w:r>
        <w:rPr>
          <w:lang w:val="bg-BG"/>
        </w:rPr>
        <w:t xml:space="preserve"> консумация преди и след подмяната. Средната заварена консумация се изчислява на базата на предходния 12 месечен период, а новата </w:t>
      </w:r>
      <w:r w:rsidR="00DD7E28">
        <w:rPr>
          <w:lang w:val="bg-BG"/>
        </w:rPr>
        <w:t>средно дневна</w:t>
      </w:r>
      <w:r>
        <w:rPr>
          <w:lang w:val="bg-BG"/>
        </w:rPr>
        <w:t xml:space="preserve"> консумация се изчислява на базата на 3 месечен период след подмяната.</w:t>
      </w:r>
    </w:p>
    <w:p w:rsidR="00014281" w:rsidRDefault="00014281">
      <w:pPr>
        <w:rPr>
          <w:sz w:val="32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sz w:val="32"/>
          <w:lang w:val="bg-BG"/>
        </w:rPr>
        <w:t>Резултати от реализацията на проекта</w:t>
      </w:r>
    </w:p>
    <w:p w:rsidR="00014281" w:rsidRDefault="00014281">
      <w:pPr>
        <w:rPr>
          <w:lang w:val="bg-BG"/>
        </w:rPr>
      </w:pPr>
      <w:r>
        <w:rPr>
          <w:sz w:val="32"/>
          <w:lang w:val="bg-BG"/>
        </w:rPr>
        <w:tab/>
      </w:r>
      <w:r>
        <w:rPr>
          <w:sz w:val="32"/>
          <w:lang w:val="bg-BG"/>
        </w:rPr>
        <w:tab/>
      </w:r>
      <w:r>
        <w:rPr>
          <w:sz w:val="32"/>
          <w:lang w:val="bg-BG"/>
        </w:rPr>
        <w:tab/>
      </w:r>
      <w:r>
        <w:rPr>
          <w:sz w:val="32"/>
          <w:lang w:val="bg-BG"/>
        </w:rPr>
        <w:tab/>
      </w:r>
      <w:r>
        <w:rPr>
          <w:lang w:val="bg-BG"/>
        </w:rPr>
        <w:t xml:space="preserve">Първа фаза 18 месеца  </w:t>
      </w:r>
    </w:p>
    <w:p w:rsidR="00014281" w:rsidRDefault="00014281">
      <w:pPr>
        <w:rPr>
          <w:lang w:val="bg-BG"/>
        </w:rPr>
      </w:pPr>
    </w:p>
    <w:tbl>
      <w:tblPr>
        <w:tblW w:w="56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977"/>
        <w:gridCol w:w="1289"/>
        <w:gridCol w:w="1529"/>
      </w:tblGrid>
      <w:tr w:rsidR="00014281">
        <w:trPr>
          <w:trHeight w:val="51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  <w:lang w:val="bg-BG"/>
              </w:rPr>
            </w:pPr>
            <w:r>
              <w:rPr>
                <w:lang w:val="bg-BG"/>
              </w:rPr>
              <w:tab/>
            </w:r>
            <w:r>
              <w:rPr>
                <w:lang w:val="bg-BG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bg-BG"/>
              </w:rPr>
              <w:t>Компоненти</w:t>
            </w:r>
            <w:r>
              <w:rPr>
                <w:rFonts w:ascii="Tahoma" w:hAnsi="Tahoma" w:cs="Tahoma"/>
                <w:sz w:val="20"/>
                <w:szCs w:val="20"/>
                <w:lang w:val="bg-BG"/>
              </w:rPr>
              <w:tab/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Цел м3/ден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Резултат м3/ден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Процент на изпълнение</w:t>
            </w:r>
          </w:p>
        </w:tc>
      </w:tr>
      <w:tr w:rsidR="00014281">
        <w:trPr>
          <w:trHeight w:val="10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Снижаване на техническите загуби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11 429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</w:tr>
      <w:tr w:rsidR="00014281">
        <w:trPr>
          <w:trHeight w:val="10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Подобряване на точността на водомерите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9 212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144</w:t>
            </w:r>
          </w:p>
        </w:tc>
      </w:tr>
      <w:tr w:rsidR="00014281">
        <w:trPr>
          <w:trHeight w:val="5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Нел</w:t>
            </w:r>
            <w:r>
              <w:rPr>
                <w:rFonts w:ascii="Tahoma" w:hAnsi="Tahoma" w:cs="Tahoma"/>
                <w:sz w:val="20"/>
                <w:szCs w:val="20"/>
                <w:lang w:val="bg-BG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гални връзки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14281">
        <w:trPr>
          <w:trHeight w:val="76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Общо снижени загуби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18 540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</w:tr>
    </w:tbl>
    <w:p w:rsidR="00014281" w:rsidRDefault="00014281">
      <w:pPr>
        <w:rPr>
          <w:lang w:val="bg-BG"/>
        </w:rPr>
      </w:pPr>
    </w:p>
    <w:p w:rsidR="00014281" w:rsidRDefault="00014281">
      <w:pPr>
        <w:pStyle w:val="1"/>
      </w:pPr>
      <w:r>
        <w:t>План за втора фаза 9 годишен период</w:t>
      </w:r>
    </w:p>
    <w:p w:rsidR="00014281" w:rsidRDefault="00014281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tbl>
      <w:tblPr>
        <w:tblW w:w="39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120"/>
        <w:gridCol w:w="1500"/>
      </w:tblGrid>
      <w:tr w:rsidR="00014281">
        <w:trPr>
          <w:trHeight w:val="102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Края на годината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Икономии на вода мил.</w:t>
            </w:r>
            <w:r w:rsidR="00DD7E28">
              <w:rPr>
                <w:rFonts w:ascii="Tahoma" w:hAnsi="Tahoma" w:cs="Tahom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м3/ден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Икономии с натрупване</w:t>
            </w:r>
          </w:p>
        </w:tc>
      </w:tr>
      <w:tr w:rsidR="0001428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2.65</w:t>
            </w:r>
          </w:p>
        </w:tc>
      </w:tr>
      <w:tr w:rsidR="0001428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20.11</w:t>
            </w:r>
          </w:p>
        </w:tc>
      </w:tr>
      <w:tr w:rsidR="00014281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52.52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96.17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149.05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209.29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277.24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349.49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422.01</w:t>
            </w:r>
          </w:p>
        </w:tc>
      </w:tr>
    </w:tbl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  <w:r>
        <w:rPr>
          <w:lang w:val="bg-BG"/>
        </w:rPr>
        <w:t>В края на 9 годишния период се очаква снижение на загубите на вода в размер на 198 900 м</w:t>
      </w:r>
      <w:r>
        <w:rPr>
          <w:vertAlign w:val="superscript"/>
          <w:lang w:val="bg-BG"/>
        </w:rPr>
        <w:t>3</w:t>
      </w:r>
      <w:r>
        <w:rPr>
          <w:lang w:val="bg-BG"/>
        </w:rPr>
        <w:t>/ден, от които 97 500 м</w:t>
      </w:r>
      <w:r>
        <w:rPr>
          <w:vertAlign w:val="superscript"/>
          <w:lang w:val="bg-BG"/>
        </w:rPr>
        <w:t>3</w:t>
      </w:r>
      <w:r>
        <w:rPr>
          <w:lang w:val="bg-BG"/>
        </w:rPr>
        <w:t>/ден техн. загуби  и 81 450 м</w:t>
      </w:r>
      <w:r>
        <w:rPr>
          <w:vertAlign w:val="superscript"/>
          <w:lang w:val="bg-BG"/>
        </w:rPr>
        <w:t>3</w:t>
      </w:r>
      <w:r>
        <w:rPr>
          <w:lang w:val="bg-BG"/>
        </w:rPr>
        <w:t>/ден търговски. Проекта струва 103 мил.$; необходими са</w:t>
      </w:r>
    </w:p>
    <w:p w:rsidR="00014281" w:rsidRDefault="00014281">
      <w:pPr>
        <w:rPr>
          <w:lang w:val="bg-BG"/>
        </w:rPr>
      </w:pPr>
      <w:r>
        <w:rPr>
          <w:lang w:val="bg-BG"/>
        </w:rPr>
        <w:t xml:space="preserve">15 000 човеко-месеца; като големият дял 20:1 е в полза за местните специалисти. Англичаните ще обучават и насочват местните хора и по този начин ще трансферира технология. </w:t>
      </w:r>
    </w:p>
    <w:p w:rsidR="00014281" w:rsidRDefault="00014281">
      <w:pPr>
        <w:rPr>
          <w:lang w:val="bg-BG"/>
        </w:rPr>
      </w:pPr>
    </w:p>
    <w:p w:rsidR="00014281" w:rsidRDefault="00014281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tbl>
      <w:tblPr>
        <w:tblW w:w="6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2260"/>
        <w:gridCol w:w="2280"/>
      </w:tblGrid>
      <w:tr w:rsidR="00014281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Снижение год.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Цел мил.</w:t>
            </w:r>
            <w:r w:rsidR="00DD7E28">
              <w:rPr>
                <w:rFonts w:ascii="Tahoma" w:hAnsi="Tahoma" w:cs="Tahom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м3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Резултат мил/м3</w:t>
            </w:r>
          </w:p>
        </w:tc>
      </w:tr>
      <w:tr w:rsidR="000142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След 12 месеца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11.94</w:t>
            </w:r>
          </w:p>
        </w:tc>
      </w:tr>
      <w:tr w:rsidR="0001428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След 15 месеца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281" w:rsidRDefault="000142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17.75</w:t>
            </w:r>
          </w:p>
        </w:tc>
      </w:tr>
    </w:tbl>
    <w:p w:rsidR="00014281" w:rsidRDefault="00014281">
      <w:pPr>
        <w:jc w:val="both"/>
        <w:rPr>
          <w:rFonts w:ascii="Tahoma" w:hAnsi="Tahoma" w:cs="Tahoma"/>
          <w:lang w:val="bg-BG"/>
        </w:rPr>
      </w:pPr>
    </w:p>
    <w:p w:rsidR="00014281" w:rsidRDefault="00014281">
      <w:pPr>
        <w:ind w:left="1440" w:firstLine="720"/>
        <w:jc w:val="both"/>
        <w:rPr>
          <w:sz w:val="32"/>
          <w:u w:val="single"/>
          <w:lang w:val="bg-BG"/>
        </w:rPr>
      </w:pPr>
      <w:r>
        <w:rPr>
          <w:sz w:val="32"/>
          <w:u w:val="single"/>
          <w:lang w:val="bg-BG"/>
        </w:rPr>
        <w:t>Икономически ползи:</w:t>
      </w:r>
    </w:p>
    <w:p w:rsidR="00014281" w:rsidRDefault="00014281">
      <w:pPr>
        <w:jc w:val="both"/>
        <w:rPr>
          <w:lang w:val="bg-BG"/>
        </w:rPr>
      </w:pPr>
    </w:p>
    <w:p w:rsidR="00014281" w:rsidRDefault="00014281">
      <w:pPr>
        <w:rPr>
          <w:lang w:val="bg-BG"/>
        </w:rPr>
      </w:pPr>
      <w:r>
        <w:rPr>
          <w:lang w:val="bg-BG"/>
        </w:rPr>
        <w:t>Да се определи точно стойността на водата  е винаги спорен въпрос. Все пак възложителят и изпълнителят се договориха за средна цена от 0.33$/м</w:t>
      </w:r>
      <w:r>
        <w:rPr>
          <w:vertAlign w:val="superscript"/>
          <w:lang w:val="bg-BG"/>
        </w:rPr>
        <w:t>3</w:t>
      </w:r>
      <w:r>
        <w:rPr>
          <w:lang w:val="bg-BG"/>
        </w:rPr>
        <w:t xml:space="preserve">, с която ще се изчисляват икономиите от снижаването на загубите. 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спестената вода може да се продаде на други клиенти, тъй като  има недостиг на вода</w:t>
      </w:r>
    </w:p>
    <w:p w:rsidR="00014281" w:rsidRDefault="0001428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подобряването на точността на водомерите пряко влияе върху приходите</w:t>
      </w:r>
    </w:p>
    <w:p w:rsidR="00014281" w:rsidRDefault="00014281">
      <w:pPr>
        <w:ind w:left="2880"/>
        <w:rPr>
          <w:lang w:val="bg-BG"/>
        </w:rPr>
      </w:pPr>
    </w:p>
    <w:p w:rsidR="00014281" w:rsidRDefault="00014281">
      <w:pPr>
        <w:ind w:left="2880"/>
        <w:rPr>
          <w:sz w:val="20"/>
        </w:rPr>
      </w:pPr>
    </w:p>
    <w:p w:rsidR="00014281" w:rsidRDefault="00014281">
      <w:pPr>
        <w:ind w:left="2880"/>
        <w:rPr>
          <w:sz w:val="20"/>
        </w:rPr>
      </w:pPr>
    </w:p>
    <w:p w:rsidR="00014281" w:rsidRDefault="00014281">
      <w:pPr>
        <w:pStyle w:val="2"/>
      </w:pPr>
      <w:r>
        <w:lastRenderedPageBreak/>
        <w:t>Възвращаемост</w:t>
      </w:r>
    </w:p>
    <w:p w:rsidR="00014281" w:rsidRDefault="00B019A2">
      <w:pPr>
        <w:rPr>
          <w:color w:val="FFFFFF"/>
          <w:lang w:val="bg-BG"/>
        </w:rPr>
      </w:pPr>
      <w:r>
        <w:rPr>
          <w:rFonts w:ascii="Tahoma" w:hAnsi="Tahoma" w:cs="Tahoma"/>
          <w:noProof/>
          <w:color w:val="FFFFFF"/>
          <w:lang w:val="bg-BG" w:eastAsia="bg-BG"/>
        </w:rPr>
        <w:drawing>
          <wp:inline distT="0" distB="0" distL="0" distR="0">
            <wp:extent cx="4667250" cy="2750185"/>
            <wp:effectExtent l="0" t="0" r="0" b="0"/>
            <wp:docPr id="3" name="Об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4281" w:rsidRDefault="00014281">
      <w:pPr>
        <w:rPr>
          <w:lang w:val="bg-BG"/>
        </w:rPr>
      </w:pPr>
    </w:p>
    <w:p w:rsidR="006D3AAB" w:rsidRDefault="00014281">
      <w:pPr>
        <w:rPr>
          <w:lang w:val="bg-BG"/>
        </w:rPr>
      </w:pPr>
      <w:r>
        <w:rPr>
          <w:lang w:val="bg-BG"/>
        </w:rPr>
        <w:t>Периода за изплащане на инвестициите е 6,7 г,</w:t>
      </w:r>
      <w:r w:rsidR="00DD7E28">
        <w:rPr>
          <w:lang w:val="bg-BG"/>
        </w:rPr>
        <w:t xml:space="preserve"> </w:t>
      </w:r>
      <w:r>
        <w:rPr>
          <w:lang w:val="bg-BG"/>
        </w:rPr>
        <w:t>като средната възвращаемост след това е 33.2%.</w:t>
      </w:r>
      <w:r w:rsidR="000C4031">
        <w:rPr>
          <w:lang w:val="bg-BG"/>
        </w:rPr>
        <w:t xml:space="preserve"> </w:t>
      </w:r>
      <w:r>
        <w:rPr>
          <w:lang w:val="bg-BG"/>
        </w:rPr>
        <w:t>Има се предвид и увеличението на разходите в бъдеще за поддържане на ниското ниво на достигнатите загуби.</w:t>
      </w:r>
    </w:p>
    <w:p w:rsidR="00014281" w:rsidRPr="006D3AAB" w:rsidRDefault="00014281">
      <w:pPr>
        <w:rPr>
          <w:sz w:val="16"/>
          <w:szCs w:val="16"/>
          <w:lang w:val="bg-BG"/>
        </w:rPr>
      </w:pPr>
      <w:r w:rsidRPr="006D3AAB">
        <w:rPr>
          <w:sz w:val="16"/>
          <w:szCs w:val="16"/>
          <w:lang w:val="bg-BG"/>
        </w:rPr>
        <w:t xml:space="preserve"> </w:t>
      </w:r>
    </w:p>
    <w:p w:rsidR="00014281" w:rsidRDefault="00014281">
      <w:pPr>
        <w:rPr>
          <w:lang w:val="bg-BG"/>
        </w:rPr>
      </w:pPr>
      <w:r>
        <w:rPr>
          <w:lang w:val="bg-BG"/>
        </w:rPr>
        <w:tab/>
      </w:r>
      <w:r>
        <w:rPr>
          <w:b/>
          <w:bCs/>
          <w:sz w:val="28"/>
          <w:u w:val="single"/>
          <w:lang w:val="bg-BG"/>
        </w:rPr>
        <w:t>Изводът</w:t>
      </w:r>
      <w:r>
        <w:rPr>
          <w:lang w:val="bg-BG"/>
        </w:rPr>
        <w:t xml:space="preserve"> е, че проект</w:t>
      </w:r>
      <w:r w:rsidR="006D3AAB">
        <w:rPr>
          <w:lang w:val="bg-BG"/>
        </w:rPr>
        <w:t>ът</w:t>
      </w:r>
      <w:r>
        <w:rPr>
          <w:lang w:val="bg-BG"/>
        </w:rPr>
        <w:t xml:space="preserve"> си струва</w:t>
      </w:r>
      <w:r w:rsidR="006D3AAB">
        <w:rPr>
          <w:lang w:val="bg-BG"/>
        </w:rPr>
        <w:t xml:space="preserve"> - </w:t>
      </w:r>
      <w:r>
        <w:rPr>
          <w:lang w:val="bg-BG"/>
        </w:rPr>
        <w:t>подобр</w:t>
      </w:r>
      <w:r w:rsidR="006D3AAB">
        <w:rPr>
          <w:lang w:val="bg-BG"/>
        </w:rPr>
        <w:t>ява</w:t>
      </w:r>
      <w:r>
        <w:rPr>
          <w:lang w:val="bg-BG"/>
        </w:rPr>
        <w:t xml:space="preserve"> ефективността и е природосъобразен. Снижаването на загубите  на вода е трудно и е свързано с голям разход на човешки труд. Държавните ВиК, са ограничени законодателно да използват възнаграждения на базата на постигнатите резултати. Това  ги поставя в позиция да не могат да реализират изцяло мероприятията по снижаване на загубите, дори и да имат необходимите знания. Успехът на проекта в Малайзия доказва, че </w:t>
      </w:r>
      <w:r>
        <w:rPr>
          <w:b/>
          <w:bCs/>
          <w:lang w:val="bg-BG"/>
        </w:rPr>
        <w:t>отдаването на тези дейности на</w:t>
      </w:r>
      <w:r>
        <w:rPr>
          <w:lang w:val="bg-BG"/>
        </w:rPr>
        <w:t xml:space="preserve"> </w:t>
      </w:r>
      <w:r>
        <w:rPr>
          <w:b/>
          <w:bCs/>
          <w:lang w:val="bg-BG"/>
        </w:rPr>
        <w:t>частен предприемач</w:t>
      </w:r>
      <w:r>
        <w:rPr>
          <w:lang w:val="bg-BG"/>
        </w:rPr>
        <w:t xml:space="preserve"> може да доведе до добри резултати. Анализът ВАВЕ е важен инструмент в целия процес – от първоначалния анализ до ежедневната дейност на екипът по снижаване на загубите.</w:t>
      </w: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p w:rsidR="00014281" w:rsidRDefault="00014281">
      <w:pPr>
        <w:rPr>
          <w:lang w:val="bg-BG"/>
        </w:rPr>
      </w:pPr>
    </w:p>
    <w:sectPr w:rsidR="00014281">
      <w:headerReference w:type="default" r:id="rId10"/>
      <w:pgSz w:w="11907" w:h="16840" w:code="9"/>
      <w:pgMar w:top="227" w:right="96" w:bottom="181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CD" w:rsidRDefault="00DE3FCD">
      <w:r>
        <w:separator/>
      </w:r>
    </w:p>
  </w:endnote>
  <w:endnote w:type="continuationSeparator" w:id="0">
    <w:p w:rsidR="00DE3FCD" w:rsidRDefault="00DE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CD" w:rsidRDefault="00DE3FCD">
      <w:r>
        <w:separator/>
      </w:r>
    </w:p>
  </w:footnote>
  <w:footnote w:type="continuationSeparator" w:id="0">
    <w:p w:rsidR="00DE3FCD" w:rsidRDefault="00DE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281" w:rsidRDefault="00014281">
    <w:pPr>
      <w:pStyle w:val="a4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waterloses1</w:t>
    </w:r>
    <w: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01B39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C01B39">
      <w:rPr>
        <w:rStyle w:val="a6"/>
        <w:noProof/>
      </w:rPr>
      <w:t>23.4.2026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17"/>
    <w:rsid w:val="00014281"/>
    <w:rsid w:val="000C4031"/>
    <w:rsid w:val="00576449"/>
    <w:rsid w:val="006D3AAB"/>
    <w:rsid w:val="009435B2"/>
    <w:rsid w:val="00A10A43"/>
    <w:rsid w:val="00AC579C"/>
    <w:rsid w:val="00B019A2"/>
    <w:rsid w:val="00C01B39"/>
    <w:rsid w:val="00C54A17"/>
    <w:rsid w:val="00D2680F"/>
    <w:rsid w:val="00DD7E28"/>
    <w:rsid w:val="00DE3FCD"/>
    <w:rsid w:val="00E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9D9EB9"/>
  <w15:chartTrackingRefBased/>
  <w15:docId w15:val="{324C8C3C-D944-49F8-9A44-F566098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sz w:val="32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583333333333334E-2"/>
          <c:y val="7.8853046594982074E-2"/>
          <c:w val="0.89166666666666672"/>
          <c:h val="0.6738351254480287"/>
        </c:manualLayout>
      </c:layout>
      <c:lineChart>
        <c:grouping val="standard"/>
        <c:varyColors val="0"/>
        <c:ser>
          <c:idx val="0"/>
          <c:order val="0"/>
          <c:spPr>
            <a:ln w="38067">
              <a:solidFill>
                <a:srgbClr val="000080"/>
              </a:solidFill>
              <a:prstDash val="solid"/>
            </a:ln>
          </c:spPr>
          <c:marker>
            <c:symbol val="none"/>
          </c:marker>
          <c:val>
            <c:numRef>
              <c:f>Sheet1!$E$13:$E$26</c:f>
              <c:numCache>
                <c:formatCode>General</c:formatCode>
                <c:ptCount val="14"/>
                <c:pt idx="0">
                  <c:v>-20</c:v>
                </c:pt>
                <c:pt idx="1">
                  <c:v>-16</c:v>
                </c:pt>
                <c:pt idx="2">
                  <c:v>-15.5</c:v>
                </c:pt>
                <c:pt idx="3">
                  <c:v>-14.7</c:v>
                </c:pt>
                <c:pt idx="4">
                  <c:v>-14</c:v>
                </c:pt>
                <c:pt idx="5">
                  <c:v>-13.4</c:v>
                </c:pt>
                <c:pt idx="6">
                  <c:v>2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13</c:v>
                </c:pt>
                <c:pt idx="12">
                  <c:v>15.5</c:v>
                </c:pt>
                <c:pt idx="13">
                  <c:v>17.7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A4-4E23-8287-F1338D3614A2}"/>
            </c:ext>
          </c:extLst>
        </c:ser>
        <c:ser>
          <c:idx val="1"/>
          <c:order val="1"/>
          <c:spPr>
            <a:ln w="38067">
              <a:solidFill>
                <a:srgbClr val="FF00FF"/>
              </a:solidFill>
              <a:prstDash val="solid"/>
            </a:ln>
          </c:spPr>
          <c:marker>
            <c:symbol val="none"/>
          </c:marker>
          <c:val>
            <c:numRef>
              <c:f>Sheet1!$F$13:$F$26</c:f>
              <c:numCache>
                <c:formatCode>General</c:formatCode>
                <c:ptCount val="14"/>
                <c:pt idx="0">
                  <c:v>-10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A4-4E23-8287-F1338D3614A2}"/>
            </c:ext>
          </c:extLst>
        </c:ser>
        <c:ser>
          <c:idx val="2"/>
          <c:order val="2"/>
          <c:spPr>
            <a:ln w="38067">
              <a:solidFill>
                <a:srgbClr val="FFFF00"/>
              </a:solidFill>
              <a:prstDash val="solid"/>
            </a:ln>
          </c:spPr>
          <c:marker>
            <c:symbol val="none"/>
          </c:marker>
          <c:val>
            <c:numRef>
              <c:f>Sheet1!$G$13:$G$26</c:f>
              <c:numCache>
                <c:formatCode>General</c:formatCode>
                <c:ptCount val="14"/>
                <c:pt idx="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FA4-4E23-8287-F1338D3614A2}"/>
            </c:ext>
          </c:extLst>
        </c:ser>
        <c:ser>
          <c:idx val="3"/>
          <c:order val="3"/>
          <c:spPr>
            <a:ln w="12689">
              <a:solidFill>
                <a:srgbClr val="00FFFF"/>
              </a:solidFill>
              <a:prstDash val="solid"/>
            </a:ln>
          </c:spPr>
          <c:marker>
            <c:symbol val="none"/>
          </c:marker>
          <c:val>
            <c:numRef>
              <c:f>Sheet1!$H$13:$H$26</c:f>
              <c:numCache>
                <c:formatCode>General</c:formatCode>
                <c:ptCount val="14"/>
                <c:pt idx="0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FA4-4E23-8287-F1338D3614A2}"/>
            </c:ext>
          </c:extLst>
        </c:ser>
        <c:ser>
          <c:idx val="4"/>
          <c:order val="4"/>
          <c:spPr>
            <a:ln w="12689">
              <a:solidFill>
                <a:srgbClr val="800080"/>
              </a:solidFill>
              <a:prstDash val="solid"/>
            </a:ln>
          </c:spPr>
          <c:marker>
            <c:symbol val="none"/>
          </c:marker>
          <c:val>
            <c:numRef>
              <c:f>Sheet1!$I$13:$I$26</c:f>
              <c:numCache>
                <c:formatCode>General</c:formatCode>
                <c:ptCount val="14"/>
                <c:pt idx="0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FA4-4E23-8287-F1338D3614A2}"/>
            </c:ext>
          </c:extLst>
        </c:ser>
        <c:ser>
          <c:idx val="5"/>
          <c:order val="5"/>
          <c:spPr>
            <a:ln w="12689">
              <a:solidFill>
                <a:srgbClr val="800000"/>
              </a:solidFill>
              <a:prstDash val="solid"/>
            </a:ln>
          </c:spPr>
          <c:marker>
            <c:symbol val="none"/>
          </c:marker>
          <c:val>
            <c:numRef>
              <c:f>Sheet1!$J$13:$J$26</c:f>
              <c:numCache>
                <c:formatCode>General</c:formatCode>
                <c:ptCount val="14"/>
                <c:pt idx="0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FA4-4E23-8287-F1338D3614A2}"/>
            </c:ext>
          </c:extLst>
        </c:ser>
        <c:ser>
          <c:idx val="6"/>
          <c:order val="6"/>
          <c:spPr>
            <a:ln w="12689">
              <a:solidFill>
                <a:srgbClr val="008080"/>
              </a:solidFill>
              <a:prstDash val="solid"/>
            </a:ln>
          </c:spPr>
          <c:marker>
            <c:symbol val="none"/>
          </c:marker>
          <c:val>
            <c:numRef>
              <c:f>Sheet1!$K$13:$K$26</c:f>
              <c:numCache>
                <c:formatCode>General</c:formatCode>
                <c:ptCount val="14"/>
                <c:pt idx="0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FA4-4E23-8287-F1338D3614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0560496"/>
        <c:axId val="1"/>
      </c:lineChart>
      <c:catAx>
        <c:axId val="92056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1" u="none" strike="noStrike" baseline="0">
                <a:solidFill>
                  <a:srgbClr val="FFFFFF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689">
              <a:solidFill>
                <a:srgbClr val="FF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6345">
            <a:noFill/>
          </a:ln>
        </c:spPr>
        <c:txPr>
          <a:bodyPr rot="0" vert="horz"/>
          <a:lstStyle/>
          <a:p>
            <a:pPr>
              <a:defRPr sz="974" b="1" i="1" u="none" strike="noStrike" baseline="0">
                <a:solidFill>
                  <a:srgbClr val="FFFFFF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920560496"/>
        <c:crosses val="autoZero"/>
        <c:crossBetween val="between"/>
      </c:valAx>
      <c:spPr>
        <a:noFill/>
        <a:ln w="25378">
          <a:noFill/>
        </a:ln>
      </c:spPr>
    </c:plotArea>
    <c:legend>
      <c:legendPos val="b"/>
      <c:layout>
        <c:manualLayout>
          <c:xMode val="edge"/>
          <c:yMode val="edge"/>
          <c:x val="0.19375000000000001"/>
          <c:y val="0.82795698924731187"/>
          <c:w val="0.6791666666666667"/>
          <c:h val="0.16129032258064516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94" b="1" i="1" u="none" strike="noStrike" baseline="0">
              <a:solidFill>
                <a:srgbClr val="FFFFFF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3172">
      <a:solidFill>
        <a:srgbClr val="000000"/>
      </a:solidFill>
      <a:prstDash val="solid"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4</cp:revision>
  <cp:lastPrinted>2002-01-24T15:33:00Z</cp:lastPrinted>
  <dcterms:created xsi:type="dcterms:W3CDTF">2026-04-21T09:44:00Z</dcterms:created>
  <dcterms:modified xsi:type="dcterms:W3CDTF">2026-04-23T09:42:00Z</dcterms:modified>
</cp:coreProperties>
</file>